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mc:AlternateContent>
          <mc:Choice Requires="wps">
            <w:drawing>
              <wp:anchor simplePos="0" relativeHeight="251657728" behindDoc="1" locked="0" layoutInCell="0" allowOverlap="1">
                <wp:simplePos x="0" y="0"/>
                <wp:positionH relativeFrom="page">
                  <wp:posOffset>628650</wp:posOffset>
                </wp:positionH>
                <wp:positionV relativeFrom="page">
                  <wp:posOffset>523875</wp:posOffset>
                </wp:positionV>
                <wp:extent cx="6515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5pt,41.25pt" to="562.5pt,41.25pt" o:allowincell="f" strokecolor="#000000" strokeweight="2pt">
                <w10:wrap anchorx="page" anchory="page"/>
              </v:line>
            </w:pict>
          </mc:Fallback>
        </mc:AlternateContent>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1991995</wp:posOffset>
                </wp:positionH>
                <wp:positionV relativeFrom="paragraph">
                  <wp:posOffset>96520</wp:posOffset>
                </wp:positionV>
                <wp:extent cx="2543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85pt,7.6pt" to="357.1pt,7.6pt" o:allowincell="f" strokecolor="#000000" strokeweight="1pt"/>
            </w:pict>
          </mc:Fallback>
        </mc:AlternateConten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1991995</wp:posOffset>
                </wp:positionH>
                <wp:positionV relativeFrom="paragraph">
                  <wp:posOffset>128905</wp:posOffset>
                </wp:positionV>
                <wp:extent cx="25431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85pt,10.15pt" to="357.1pt,10.15pt" o:allowincell="f" strokecolor="#000000" strokeweight="1pt"/>
            </w:pict>
          </mc:Fallback>
        </mc:AlternateContent>
      </w:r>
    </w:p>
    <w:p>
      <w:pPr>
        <w:spacing w:after="0" w:line="295" w:lineRule="exact"/>
        <w:rPr>
          <w:sz w:val="24"/>
          <w:szCs w:val="24"/>
          <w:color w:val="auto"/>
        </w:rPr>
      </w:pPr>
    </w:p>
    <w:p>
      <w:pPr>
        <w:jc w:val="center"/>
        <w:ind w:left="3260" w:right="320" w:hanging="3193"/>
        <w:spacing w:after="0" w:line="381" w:lineRule="auto"/>
        <w:tabs>
          <w:tab w:leader="none" w:pos="624"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19"/>
          <w:szCs w:val="19"/>
          <w:b w:val="1"/>
          <w:bCs w:val="1"/>
          <w:color w:val="auto"/>
        </w:rPr>
        <w:t xml:space="preserve">ANNUAL REPORT PURSUANT TO SECTION 13 OR 15(d) OF THE SECURITIES EXCHANGE ACT OF 1934 </w:t>
      </w:r>
      <w:r>
        <w:rPr>
          <w:rFonts w:ascii="Times New Roman" w:cs="Times New Roman" w:eastAsia="Times New Roman" w:hAnsi="Times New Roman"/>
          <w:sz w:val="20"/>
          <w:szCs w:val="20"/>
          <w:b w:val="1"/>
          <w:bCs w:val="1"/>
          <w:color w:val="auto"/>
        </w:rPr>
        <w:t>For the fiscal year ended December 31, 2025</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36" w:lineRule="exact"/>
        <w:rPr>
          <w:sz w:val="24"/>
          <w:szCs w:val="24"/>
          <w:color w:val="auto"/>
        </w:rPr>
      </w:pPr>
    </w:p>
    <w:p>
      <w:pPr>
        <w:jc w:val="center"/>
        <w:ind w:left="2880" w:right="180" w:hanging="2821"/>
        <w:spacing w:after="0" w:line="340" w:lineRule="auto"/>
        <w:tabs>
          <w:tab w:leader="none" w:pos="407"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19"/>
          <w:szCs w:val="19"/>
          <w:b w:val="1"/>
          <w:bCs w:val="1"/>
          <w:color w:val="auto"/>
        </w:rPr>
        <w:t xml:space="preserve">TRANSITION REPORT PURSUANT TO SECTION 13 OR 15(d) OF THE SECURITIES EXCHANGE ACT OF 1934 </w:t>
      </w:r>
      <w:r>
        <w:rPr>
          <w:rFonts w:ascii="Times New Roman" w:cs="Times New Roman" w:eastAsia="Times New Roman" w:hAnsi="Times New Roman"/>
          <w:sz w:val="20"/>
          <w:szCs w:val="20"/>
          <w:b w:val="1"/>
          <w:bCs w:val="1"/>
          <w:color w:val="auto"/>
        </w:rPr>
        <w:t>For the transition period from ________ to ________</w:t>
      </w:r>
    </w:p>
    <w:p>
      <w:pPr>
        <w:ind w:left="3640"/>
        <w:spacing w:after="0"/>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Commission file number 001-40215</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Instil Bio, Inc.</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35" w:lineRule="exact"/>
        <w:rPr>
          <w:sz w:val="24"/>
          <w:szCs w:val="24"/>
          <w:color w:val="auto"/>
        </w:rPr>
      </w:pPr>
    </w:p>
    <w:tbl>
      <w:tblPr>
        <w:tblLayout w:type="fixed"/>
        <w:tblInd w:w="380" w:type="dxa"/>
        <w:tblCellMar>
          <w:top w:w="0" w:type="dxa"/>
          <w:left w:w="0" w:type="dxa"/>
          <w:bottom w:w="0" w:type="dxa"/>
          <w:right w:w="0" w:type="dxa"/>
        </w:tblCellMar>
      </w:tblPr>
      <w:tr>
        <w:trPr>
          <w:trHeight w:val="26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820" w:type="dxa"/>
            <w:vAlign w:val="bottom"/>
          </w:tcPr>
          <w:p>
            <w:pPr>
              <w:jc w:val="right"/>
              <w:ind w:right="590"/>
              <w:spacing w:after="0"/>
              <w:rPr>
                <w:sz w:val="20"/>
                <w:szCs w:val="20"/>
                <w:color w:val="auto"/>
              </w:rPr>
            </w:pPr>
            <w:r>
              <w:rPr>
                <w:rFonts w:ascii="Times New Roman" w:cs="Times New Roman" w:eastAsia="Times New Roman" w:hAnsi="Times New Roman"/>
                <w:sz w:val="20"/>
                <w:szCs w:val="20"/>
                <w:b w:val="1"/>
                <w:bCs w:val="1"/>
                <w:color w:val="auto"/>
              </w:rPr>
              <w:t>83-2072195</w:t>
            </w:r>
          </w:p>
        </w:tc>
      </w:tr>
      <w:tr>
        <w:trPr>
          <w:trHeight w:val="208"/>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w:t>
            </w: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09"/>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6"/>
                <w:szCs w:val="16"/>
                <w:color w:val="auto"/>
                <w:w w:val="98"/>
              </w:rPr>
              <w:t>organization)</w:t>
            </w:r>
          </w:p>
        </w:tc>
        <w:tc>
          <w:tcPr>
            <w:tcW w:w="3820" w:type="dxa"/>
            <w:vAlign w:val="bottom"/>
          </w:tcPr>
          <w:p>
            <w:pPr>
              <w:spacing w:after="0"/>
              <w:rPr>
                <w:sz w:val="18"/>
                <w:szCs w:val="18"/>
                <w:color w:val="auto"/>
              </w:rPr>
            </w:pPr>
          </w:p>
        </w:tc>
      </w:tr>
      <w:tr>
        <w:trPr>
          <w:trHeight w:val="339"/>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20"/>
                <w:szCs w:val="20"/>
                <w:b w:val="1"/>
                <w:bCs w:val="1"/>
                <w:color w:val="auto"/>
                <w:w w:val="99"/>
              </w:rPr>
              <w:t>3963 Maple Avenue, Suite 350</w:t>
            </w:r>
          </w:p>
        </w:tc>
        <w:tc>
          <w:tcPr>
            <w:tcW w:w="3820" w:type="dxa"/>
            <w:vAlign w:val="bottom"/>
          </w:tcPr>
          <w:p>
            <w:pPr>
              <w:jc w:val="right"/>
              <w:ind w:right="830"/>
              <w:spacing w:after="0"/>
              <w:rPr>
                <w:sz w:val="20"/>
                <w:szCs w:val="20"/>
                <w:color w:val="auto"/>
              </w:rPr>
            </w:pPr>
            <w:r>
              <w:rPr>
                <w:rFonts w:ascii="Times New Roman" w:cs="Times New Roman" w:eastAsia="Times New Roman" w:hAnsi="Times New Roman"/>
                <w:sz w:val="20"/>
                <w:szCs w:val="20"/>
                <w:b w:val="1"/>
                <w:bCs w:val="1"/>
                <w:color w:val="auto"/>
              </w:rPr>
              <w:t>75219</w:t>
            </w:r>
          </w:p>
        </w:tc>
      </w:tr>
      <w:tr>
        <w:trPr>
          <w:trHeight w:val="26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20"/>
                <w:szCs w:val="20"/>
                <w:b w:val="1"/>
                <w:bCs w:val="1"/>
                <w:color w:val="auto"/>
                <w:w w:val="98"/>
              </w:rPr>
              <w:t>Dallas, Texas</w:t>
            </w: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6"/>
                <w:szCs w:val="16"/>
                <w:color w:val="auto"/>
              </w:rPr>
              <w:t>(Zip Code)</w:t>
            </w:r>
          </w:p>
        </w:tc>
      </w:tr>
      <w:tr>
        <w:trPr>
          <w:trHeight w:val="282"/>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820" w:type="dxa"/>
            <w:vAlign w:val="bottom"/>
          </w:tcPr>
          <w:p>
            <w:pPr>
              <w:spacing w:after="0"/>
              <w:rPr>
                <w:sz w:val="24"/>
                <w:szCs w:val="24"/>
                <w:color w:val="auto"/>
              </w:rPr>
            </w:pPr>
          </w:p>
        </w:tc>
      </w:tr>
    </w:tbl>
    <w:p>
      <w:pPr>
        <w:spacing w:after="0" w:line="6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(972) 499-3350</w:t>
      </w:r>
    </w:p>
    <w:p>
      <w:pPr>
        <w:spacing w:after="0" w:line="5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1739900</wp:posOffset>
                </wp:positionH>
                <wp:positionV relativeFrom="paragraph">
                  <wp:posOffset>65405</wp:posOffset>
                </wp:positionV>
                <wp:extent cx="304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5.15pt" to="377pt,5.15pt" o:allowincell="f" strokecolor="#000000" strokeweight="1pt"/>
            </w:pict>
          </mc:Fallback>
        </mc:AlternateConten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102235</wp:posOffset>
                </wp:positionV>
                <wp:extent cx="0" cy="3746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8.05pt" to="0.1pt,37.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2601595</wp:posOffset>
                </wp:positionH>
                <wp:positionV relativeFrom="paragraph">
                  <wp:posOffset>102235</wp:posOffset>
                </wp:positionV>
                <wp:extent cx="0" cy="37465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85pt,8.05pt" to="204.85pt,37.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3906520</wp:posOffset>
                </wp:positionH>
                <wp:positionV relativeFrom="paragraph">
                  <wp:posOffset>102235</wp:posOffset>
                </wp:positionV>
                <wp:extent cx="0" cy="37465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6pt,8.05pt" to="307.6pt,37.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6525895</wp:posOffset>
                </wp:positionH>
                <wp:positionV relativeFrom="paragraph">
                  <wp:posOffset>102235</wp:posOffset>
                </wp:positionV>
                <wp:extent cx="0" cy="37465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85pt,8.05pt" to="513.85pt,37.55pt" o:allowincell="f" strokecolor="#000000" strokeweight="0pt"/>
            </w:pict>
          </mc:Fallback>
        </mc:AlternateConten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85"/>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Name of each exchange on which registered</w:t>
            </w:r>
          </w:p>
        </w:tc>
      </w:tr>
      <w:tr>
        <w:trPr>
          <w:trHeight w:val="265"/>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Common Stock, $0.000001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TIL</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41" w:lineRule="exact"/>
        <w:rPr>
          <w:sz w:val="24"/>
          <w:szCs w:val="24"/>
          <w:color w:val="auto"/>
        </w:rPr>
      </w:pPr>
    </w:p>
    <w:p>
      <w:pPr>
        <w:ind w:right="180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56" w:lineRule="exact"/>
        <w:rPr>
          <w:sz w:val="24"/>
          <w:szCs w:val="24"/>
          <w:color w:val="auto"/>
        </w:rPr>
      </w:pPr>
    </w:p>
    <w:p>
      <w:pPr>
        <w:jc w:val="both"/>
        <w:ind w:right="60"/>
        <w:spacing w:after="0" w:line="23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57"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pursuant to Rule 405 of Regulation S-T (§232.405 of this chapter) during the preceding 12 months (or for such shorter period that the registrant was required to submit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57" w:lineRule="exact"/>
        <w:rPr>
          <w:sz w:val="24"/>
          <w:szCs w:val="24"/>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7" w:lineRule="exact"/>
        <w:rPr>
          <w:sz w:val="24"/>
          <w:szCs w:val="24"/>
          <w:color w:val="auto"/>
        </w:rPr>
      </w:pPr>
    </w:p>
    <w:tbl>
      <w:tblPr>
        <w:tblLayout w:type="fixed"/>
        <w:tblInd w:w="1120" w:type="dxa"/>
        <w:tblCellMar>
          <w:top w:w="0" w:type="dxa"/>
          <w:left w:w="0" w:type="dxa"/>
          <w:bottom w:w="0" w:type="dxa"/>
          <w:right w:w="0" w:type="dxa"/>
        </w:tblCellMar>
      </w:tblPr>
      <w:tr>
        <w:trPr>
          <w:trHeight w:val="240"/>
        </w:trPr>
        <w:tc>
          <w:tcPr>
            <w:tcW w:w="2060" w:type="dxa"/>
            <w:vAlign w:val="bottom"/>
          </w:tcPr>
          <w:p>
            <w:pPr>
              <w:jc w:val="center"/>
              <w:ind w:right="540"/>
              <w:spacing w:after="0"/>
              <w:rPr>
                <w:sz w:val="20"/>
                <w:szCs w:val="20"/>
                <w:color w:val="auto"/>
              </w:rPr>
            </w:pPr>
            <w:r>
              <w:rPr>
                <w:rFonts w:ascii="Times New Roman" w:cs="Times New Roman" w:eastAsia="Times New Roman" w:hAnsi="Times New Roman"/>
                <w:sz w:val="16"/>
                <w:szCs w:val="16"/>
                <w:color w:val="auto"/>
              </w:rPr>
              <w:t>Large accelerated filer</w:t>
            </w:r>
          </w:p>
        </w:tc>
        <w:tc>
          <w:tcPr>
            <w:tcW w:w="134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0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40"/>
        </w:trPr>
        <w:tc>
          <w:tcPr>
            <w:tcW w:w="2060" w:type="dxa"/>
            <w:vAlign w:val="bottom"/>
          </w:tcPr>
          <w:p>
            <w:pPr>
              <w:jc w:val="center"/>
              <w:ind w:right="520"/>
              <w:spacing w:after="0"/>
              <w:rPr>
                <w:sz w:val="20"/>
                <w:szCs w:val="20"/>
                <w:color w:val="auto"/>
              </w:rPr>
            </w:pPr>
            <w:r>
              <w:rPr>
                <w:rFonts w:ascii="Times New Roman" w:cs="Times New Roman" w:eastAsia="Times New Roman" w:hAnsi="Times New Roman"/>
                <w:sz w:val="16"/>
                <w:szCs w:val="16"/>
                <w:color w:val="auto"/>
                <w:w w:val="98"/>
              </w:rPr>
              <w:t>Non-accelerated filer</w:t>
            </w:r>
          </w:p>
        </w:tc>
        <w:tc>
          <w:tcPr>
            <w:tcW w:w="134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0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57"/>
        </w:trPr>
        <w:tc>
          <w:tcPr>
            <w:tcW w:w="20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b w:val="1"/>
                <w:bCs w:val="1"/>
                <w:color w:val="auto"/>
                <w:w w:val="74"/>
              </w:rPr>
              <w:t>☒</w:t>
            </w:r>
          </w:p>
        </w:tc>
      </w:tr>
    </w:tbl>
    <w:p>
      <w:pPr>
        <w:spacing w:after="0" w:line="370" w:lineRule="exact"/>
        <w:rPr>
          <w:sz w:val="24"/>
          <w:szCs w:val="24"/>
          <w:color w:val="auto"/>
        </w:rPr>
      </w:pPr>
    </w:p>
    <w:p>
      <w:pPr>
        <w:ind w:right="26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b w:val="1"/>
          <w:bCs w:val="1"/>
          <w:color w:val="auto"/>
        </w:rPr>
        <w:t>☐</w:t>
      </w:r>
    </w:p>
    <w:p>
      <w:pPr>
        <w:spacing w:after="0" w:line="17" w:lineRule="exact"/>
        <w:rPr>
          <w:sz w:val="24"/>
          <w:szCs w:val="24"/>
          <w:color w:val="auto"/>
        </w:rPr>
      </w:pPr>
    </w:p>
    <w:p>
      <w:pPr>
        <w:ind w:right="20"/>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16" w:lineRule="exact"/>
        <w:rPr>
          <w:sz w:val="24"/>
          <w:szCs w:val="24"/>
          <w:color w:val="auto"/>
        </w:rPr>
      </w:pPr>
    </w:p>
    <w:p>
      <w:pPr>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ectPr>
          <w:pgSz w:w="12240" w:h="15840" w:orient="portrait"/>
          <w:cols w:equalWidth="0" w:num="1">
            <w:col w:w="10280"/>
          </w:cols>
          <w:pgMar w:left="980" w:top="920" w:right="980" w:bottom="168" w:gutter="0" w:footer="0" w:header="0"/>
        </w:sectPr>
      </w:pPr>
    </w:p>
    <w:bookmarkStart w:id="1" w:name="page2"/>
    <w:bookmarkEnd w:id="1"/>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b w:val="1"/>
          <w:bCs w:val="1"/>
          <w:color w:val="auto"/>
        </w:rPr>
        <w:t>☐</w:t>
      </w:r>
    </w:p>
    <w:p>
      <w:pPr>
        <w:spacing w:after="0" w:line="118" w:lineRule="exact"/>
        <w:rPr>
          <w:sz w:val="20"/>
          <w:szCs w:val="20"/>
          <w:color w:val="auto"/>
        </w:rPr>
      </w:pPr>
    </w:p>
    <w:p>
      <w:pPr>
        <w:spacing w:after="0" w:line="184" w:lineRule="exact"/>
        <w:tabs>
          <w:tab w:leader="none" w:pos="744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b w:val="1"/>
          <w:bCs w:val="1"/>
          <w:color w:val="auto"/>
        </w:rPr>
        <w:t>☒</w:t>
      </w:r>
    </w:p>
    <w:p>
      <w:pPr>
        <w:spacing w:after="0" w:line="12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of the registrant was approximately $83.4 million, based on the closing price of the registrant’s common stock on the Nasdaq Stock Market on June 30, 2025 of $20.83 per share.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4220" w:type="dxa"/>
            <w:vAlign w:val="bottom"/>
            <w:gridSpan w:val="2"/>
          </w:tcPr>
          <w:p>
            <w:pPr>
              <w:jc w:val="center"/>
              <w:ind w:right="2660"/>
              <w:spacing w:after="0"/>
              <w:rPr>
                <w:sz w:val="20"/>
                <w:szCs w:val="20"/>
                <w:color w:val="auto"/>
              </w:rPr>
            </w:pPr>
            <w:r>
              <w:rPr>
                <w:rFonts w:ascii="Times New Roman" w:cs="Times New Roman" w:eastAsia="Times New Roman" w:hAnsi="Times New Roman"/>
                <w:sz w:val="16"/>
                <w:szCs w:val="16"/>
                <w:color w:val="auto"/>
                <w:w w:val="99"/>
              </w:rPr>
              <w:t>Class of Common Stock</w:t>
            </w:r>
          </w:p>
        </w:tc>
        <w:tc>
          <w:tcPr>
            <w:tcW w:w="1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Outstanding at</w:t>
            </w:r>
          </w:p>
        </w:tc>
      </w:tr>
      <w:tr>
        <w:trPr>
          <w:trHeight w:val="20"/>
        </w:trPr>
        <w:tc>
          <w:tcPr>
            <w:tcW w:w="1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55"/>
        </w:trPr>
        <w:tc>
          <w:tcPr>
            <w:tcW w:w="5700" w:type="dxa"/>
            <w:vAlign w:val="bottom"/>
            <w:gridSpan w:val="3"/>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6,781,976 shares of Common Stock, $0.000001 par value per share</w:t>
            </w:r>
          </w:p>
        </w:tc>
        <w:tc>
          <w:tcPr>
            <w:tcW w:w="2200" w:type="dxa"/>
            <w:vAlign w:val="bottom"/>
            <w:gridSpan w:val="2"/>
          </w:tcPr>
          <w:p>
            <w:pPr>
              <w:jc w:val="center"/>
              <w:ind w:left="1100"/>
              <w:spacing w:after="0"/>
              <w:rPr>
                <w:sz w:val="20"/>
                <w:szCs w:val="20"/>
                <w:color w:val="auto"/>
              </w:rPr>
            </w:pPr>
            <w:r>
              <w:rPr>
                <w:rFonts w:ascii="Times New Roman" w:cs="Times New Roman" w:eastAsia="Times New Roman" w:hAnsi="Times New Roman"/>
                <w:sz w:val="16"/>
                <w:szCs w:val="16"/>
                <w:color w:val="auto"/>
              </w:rPr>
              <w:t>March 25, 2026</w:t>
            </w: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 the Securities and Exchange Commission (SEC) subsequent to the date hereof pursuant to Regulation 14A in connection with the registrant’s 2026 Annual Meeting of Stockholders are incorporated by reference into Part III of this Annual Report on Form 10-K. Such proxy statement will be filed with the SEC not later than 120 days after the conclusion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277495</wp:posOffset>
                </wp:positionV>
                <wp:extent cx="651446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85pt" to="512.95pt,21.85pt" o:allowincell="f" strokecolor="#000000" strokeweight="2pt"/>
            </w:pict>
          </mc:Fallback>
        </mc:AlternateContent>
      </w:r>
    </w:p>
    <w:p>
      <w:pPr>
        <w:sectPr>
          <w:pgSz w:w="12240" w:h="15840" w:orient="portrait"/>
          <w:cols w:equalWidth="0" w:num="1">
            <w:col w:w="10280"/>
          </w:cols>
          <w:pgMar w:left="980" w:top="670" w:right="98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64"/>
        </w:trPr>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540" w:type="dxa"/>
            <w:vAlign w:val="bottom"/>
            <w:gridSpan w:val="12"/>
          </w:tcPr>
          <w:p>
            <w:pPr>
              <w:ind w:left="2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62"/>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65"/>
        </w:trPr>
        <w:tc>
          <w:tcPr>
            <w:tcW w:w="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5"/>
              </w:rPr>
              <w:t>Part I</w:t>
            </w:r>
          </w:p>
        </w:tc>
        <w:tc>
          <w:tcPr>
            <w:tcW w:w="8360" w:type="dxa"/>
            <w:vAlign w:val="bottom"/>
            <w:gridSpan w:val="30"/>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240" w:type="dxa"/>
            <w:vAlign w:val="bottom"/>
          </w:tcPr>
          <w:p>
            <w:pPr>
              <w:spacing w:after="0"/>
              <w:rPr>
                <w:sz w:val="23"/>
                <w:szCs w:val="23"/>
                <w:color w:val="auto"/>
              </w:rPr>
            </w:pP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7"/>
              </w:rPr>
              <w:t>Item 1. Business</w:t>
            </w:r>
          </w:p>
        </w:tc>
        <w:tc>
          <w:tcPr>
            <w:tcW w:w="7240" w:type="dxa"/>
            <w:vAlign w:val="bottom"/>
            <w:gridSpan w:val="24"/>
          </w:tcPr>
          <w:p>
            <w:pPr>
              <w:spacing w:after="0"/>
              <w:rPr>
                <w:sz w:val="23"/>
                <w:szCs w:val="23"/>
                <w:color w:val="auto"/>
              </w:rPr>
            </w:pPr>
          </w:p>
        </w:tc>
        <w:tc>
          <w:tcPr>
            <w:tcW w:w="340" w:type="dxa"/>
            <w:vAlign w:val="bottom"/>
            <w:gridSpan w:val="3"/>
          </w:tcPr>
          <w:p>
            <w:pPr>
              <w:spacing w:after="0"/>
              <w:rPr>
                <w:sz w:val="23"/>
                <w:szCs w:val="23"/>
                <w:color w:val="auto"/>
              </w:rPr>
            </w:pPr>
          </w:p>
        </w:tc>
        <w:tc>
          <w:tcPr>
            <w:tcW w:w="1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79"/>
              </w:rPr>
              <w:t>6</w:t>
            </w:r>
          </w:p>
        </w:tc>
      </w:tr>
      <w:tr>
        <w:trPr>
          <w:trHeight w:val="265"/>
        </w:trPr>
        <w:tc>
          <w:tcPr>
            <w:tcW w:w="240" w:type="dxa"/>
            <w:vAlign w:val="bottom"/>
          </w:tcPr>
          <w:p>
            <w:pPr>
              <w:spacing w:after="0"/>
              <w:rPr>
                <w:sz w:val="23"/>
                <w:szCs w:val="23"/>
                <w:color w:val="auto"/>
              </w:rPr>
            </w:pPr>
          </w:p>
        </w:tc>
        <w:tc>
          <w:tcPr>
            <w:tcW w:w="1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8"/>
              </w:rPr>
              <w:t>Item 1A. Risk Factors</w:t>
            </w:r>
          </w:p>
        </w:tc>
        <w:tc>
          <w:tcPr>
            <w:tcW w:w="6800" w:type="dxa"/>
            <w:vAlign w:val="bottom"/>
            <w:gridSpan w:val="20"/>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16</w:t>
            </w:r>
          </w:p>
        </w:tc>
      </w:tr>
      <w:tr>
        <w:trPr>
          <w:trHeight w:val="265"/>
        </w:trPr>
        <w:tc>
          <w:tcPr>
            <w:tcW w:w="240" w:type="dxa"/>
            <w:vAlign w:val="bottom"/>
          </w:tcPr>
          <w:p>
            <w:pPr>
              <w:spacing w:after="0"/>
              <w:rPr>
                <w:sz w:val="23"/>
                <w:szCs w:val="23"/>
                <w:color w:val="auto"/>
              </w:rPr>
            </w:pPr>
          </w:p>
        </w:tc>
        <w:tc>
          <w:tcPr>
            <w:tcW w:w="3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Item 1B. Unresolved Staff Comments</w:t>
            </w:r>
          </w:p>
        </w:tc>
        <w:tc>
          <w:tcPr>
            <w:tcW w:w="5540" w:type="dxa"/>
            <w:vAlign w:val="bottom"/>
            <w:gridSpan w:val="12"/>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66</w:t>
            </w:r>
          </w:p>
        </w:tc>
      </w:tr>
      <w:tr>
        <w:trPr>
          <w:trHeight w:val="265"/>
        </w:trPr>
        <w:tc>
          <w:tcPr>
            <w:tcW w:w="240" w:type="dxa"/>
            <w:vAlign w:val="bottom"/>
          </w:tcPr>
          <w:p>
            <w:pPr>
              <w:spacing w:after="0"/>
              <w:rPr>
                <w:sz w:val="23"/>
                <w:szCs w:val="23"/>
                <w:color w:val="auto"/>
              </w:rPr>
            </w:pPr>
          </w:p>
        </w:tc>
        <w:tc>
          <w:tcPr>
            <w:tcW w:w="8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Item 1C. Cybersecurity</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66</w:t>
            </w:r>
          </w:p>
        </w:tc>
      </w:tr>
      <w:tr>
        <w:trPr>
          <w:trHeight w:val="265"/>
        </w:trPr>
        <w:tc>
          <w:tcPr>
            <w:tcW w:w="240" w:type="dxa"/>
            <w:vAlign w:val="bottom"/>
          </w:tcPr>
          <w:p>
            <w:pPr>
              <w:spacing w:after="0"/>
              <w:rPr>
                <w:sz w:val="23"/>
                <w:szCs w:val="23"/>
                <w:color w:val="auto"/>
              </w:rPr>
            </w:pPr>
          </w:p>
        </w:tc>
        <w:tc>
          <w:tcPr>
            <w:tcW w:w="14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Item 2. Properties</w:t>
            </w:r>
          </w:p>
        </w:tc>
        <w:tc>
          <w:tcPr>
            <w:tcW w:w="440" w:type="dxa"/>
            <w:vAlign w:val="bottom"/>
            <w:tcBorders>
              <w:top w:val="single" w:sz="8" w:color="0000FF"/>
            </w:tcBorders>
            <w:gridSpan w:val="2"/>
          </w:tcPr>
          <w:p>
            <w:pPr>
              <w:spacing w:after="0"/>
              <w:rPr>
                <w:sz w:val="23"/>
                <w:szCs w:val="23"/>
                <w:color w:val="auto"/>
              </w:rPr>
            </w:pPr>
          </w:p>
        </w:tc>
        <w:tc>
          <w:tcPr>
            <w:tcW w:w="6700" w:type="dxa"/>
            <w:vAlign w:val="bottom"/>
            <w:gridSpan w:val="19"/>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67</w:t>
            </w:r>
          </w:p>
        </w:tc>
      </w:tr>
      <w:tr>
        <w:trPr>
          <w:trHeight w:val="265"/>
        </w:trPr>
        <w:tc>
          <w:tcPr>
            <w:tcW w:w="240" w:type="dxa"/>
            <w:vAlign w:val="bottom"/>
          </w:tcPr>
          <w:p>
            <w:pPr>
              <w:spacing w:after="0"/>
              <w:rPr>
                <w:sz w:val="23"/>
                <w:szCs w:val="23"/>
                <w:color w:val="auto"/>
              </w:rPr>
            </w:pPr>
          </w:p>
        </w:tc>
        <w:tc>
          <w:tcPr>
            <w:tcW w:w="2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Item 3. Legal Proceedings</w:t>
            </w:r>
          </w:p>
        </w:tc>
        <w:tc>
          <w:tcPr>
            <w:tcW w:w="6460" w:type="dxa"/>
            <w:vAlign w:val="bottom"/>
            <w:gridSpan w:val="18"/>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67</w:t>
            </w:r>
          </w:p>
        </w:tc>
      </w:tr>
      <w:tr>
        <w:trPr>
          <w:trHeight w:val="265"/>
        </w:trPr>
        <w:tc>
          <w:tcPr>
            <w:tcW w:w="240" w:type="dxa"/>
            <w:vAlign w:val="bottom"/>
          </w:tcPr>
          <w:p>
            <w:pPr>
              <w:spacing w:after="0"/>
              <w:rPr>
                <w:sz w:val="23"/>
                <w:szCs w:val="23"/>
                <w:color w:val="auto"/>
              </w:rPr>
            </w:pPr>
          </w:p>
        </w:tc>
        <w:tc>
          <w:tcPr>
            <w:tcW w:w="25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Item 4. Mine Safety Disclosures</w:t>
            </w:r>
          </w:p>
        </w:tc>
        <w:tc>
          <w:tcPr>
            <w:tcW w:w="5980" w:type="dxa"/>
            <w:vAlign w:val="bottom"/>
            <w:gridSpan w:val="15"/>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67</w:t>
            </w:r>
          </w:p>
        </w:tc>
      </w:tr>
      <w:tr>
        <w:trPr>
          <w:trHeight w:val="265"/>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4"/>
              </w:rPr>
              <w:t>Part II</w:t>
            </w:r>
          </w:p>
        </w:tc>
        <w:tc>
          <w:tcPr>
            <w:tcW w:w="8300" w:type="dxa"/>
            <w:vAlign w:val="bottom"/>
            <w:gridSpan w:val="29"/>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240" w:type="dxa"/>
            <w:vAlign w:val="bottom"/>
          </w:tcPr>
          <w:p>
            <w:pPr>
              <w:spacing w:after="0"/>
              <w:rPr>
                <w:sz w:val="23"/>
                <w:szCs w:val="23"/>
                <w:color w:val="auto"/>
              </w:rPr>
            </w:pPr>
          </w:p>
        </w:tc>
        <w:tc>
          <w:tcPr>
            <w:tcW w:w="82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20"/>
                <w:szCs w:val="20"/>
                <w:color w:val="0000FF"/>
              </w:rPr>
              <w:t>Item 5. Market for Registrant’s Common Equity, Related Stockholder Matters and Issuer Purchases of</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240" w:type="dxa"/>
            <w:vAlign w:val="bottom"/>
          </w:tcPr>
          <w:p>
            <w:pPr>
              <w:spacing w:after="0"/>
              <w:rPr>
                <w:sz w:val="19"/>
                <w:szCs w:val="19"/>
                <w:color w:val="auto"/>
              </w:rPr>
            </w:pPr>
          </w:p>
        </w:tc>
        <w:tc>
          <w:tcPr>
            <w:tcW w:w="1380" w:type="dxa"/>
            <w:vAlign w:val="bottom"/>
            <w:tcBorders>
              <w:bottom w:val="single" w:sz="8" w:color="0000FF"/>
            </w:tcBorders>
            <w:gridSpan w:val="9"/>
          </w:tcPr>
          <w:p>
            <w:pPr>
              <w:spacing w:after="0" w:line="220" w:lineRule="exact"/>
              <w:rPr>
                <w:sz w:val="20"/>
                <w:szCs w:val="20"/>
                <w:color w:val="auto"/>
              </w:rPr>
            </w:pPr>
            <w:r>
              <w:rPr>
                <w:rFonts w:ascii="Times New Roman" w:cs="Times New Roman" w:eastAsia="Times New Roman" w:hAnsi="Times New Roman"/>
                <w:sz w:val="20"/>
                <w:szCs w:val="20"/>
                <w:color w:val="0000FF"/>
                <w:w w:val="99"/>
              </w:rPr>
              <w:t>Equity Securities</w:t>
            </w:r>
          </w:p>
        </w:tc>
        <w:tc>
          <w:tcPr>
            <w:tcW w:w="7180" w:type="dxa"/>
            <w:vAlign w:val="bottom"/>
            <w:gridSpan w:val="22"/>
          </w:tcPr>
          <w:p>
            <w:pPr>
              <w:spacing w:after="0"/>
              <w:rPr>
                <w:sz w:val="19"/>
                <w:szCs w:val="19"/>
                <w:color w:val="auto"/>
              </w:rPr>
            </w:pPr>
          </w:p>
        </w:tc>
        <w:tc>
          <w:tcPr>
            <w:tcW w:w="240" w:type="dxa"/>
            <w:vAlign w:val="bottom"/>
            <w:gridSpan w:val="2"/>
          </w:tcPr>
          <w:p>
            <w:pPr>
              <w:spacing w:after="0"/>
              <w:rPr>
                <w:sz w:val="19"/>
                <w:szCs w:val="19"/>
                <w:color w:val="auto"/>
              </w:rPr>
            </w:pPr>
          </w:p>
        </w:tc>
        <w:tc>
          <w:tcPr>
            <w:tcW w:w="200" w:type="dxa"/>
            <w:vAlign w:val="bottom"/>
            <w:tcBorders>
              <w:bottom w:val="single" w:sz="8" w:color="0000FF"/>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0000FF"/>
                <w:w w:val="89"/>
              </w:rPr>
              <w:t>68</w:t>
            </w:r>
          </w:p>
        </w:tc>
      </w:tr>
      <w:tr>
        <w:trPr>
          <w:trHeight w:val="265"/>
        </w:trPr>
        <w:tc>
          <w:tcPr>
            <w:tcW w:w="240" w:type="dxa"/>
            <w:vAlign w:val="bottom"/>
          </w:tcPr>
          <w:p>
            <w:pPr>
              <w:spacing w:after="0"/>
              <w:rPr>
                <w:sz w:val="23"/>
                <w:szCs w:val="23"/>
                <w:color w:val="auto"/>
              </w:rPr>
            </w:pPr>
          </w:p>
        </w:tc>
        <w:tc>
          <w:tcPr>
            <w:tcW w:w="1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Item 6. Reserved</w:t>
            </w:r>
          </w:p>
        </w:tc>
        <w:tc>
          <w:tcPr>
            <w:tcW w:w="7200" w:type="dxa"/>
            <w:vAlign w:val="bottom"/>
            <w:gridSpan w:val="23"/>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68</w:t>
            </w:r>
          </w:p>
        </w:tc>
      </w:tr>
      <w:tr>
        <w:trPr>
          <w:trHeight w:val="265"/>
        </w:trPr>
        <w:tc>
          <w:tcPr>
            <w:tcW w:w="240" w:type="dxa"/>
            <w:vAlign w:val="bottom"/>
          </w:tcPr>
          <w:p>
            <w:pPr>
              <w:spacing w:after="0"/>
              <w:rPr>
                <w:sz w:val="23"/>
                <w:szCs w:val="23"/>
                <w:color w:val="auto"/>
              </w:rPr>
            </w:pPr>
          </w:p>
        </w:tc>
        <w:tc>
          <w:tcPr>
            <w:tcW w:w="78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w w:val="99"/>
              </w:rPr>
              <w:t>Item 7. Management’s Discussion and Analysis of Financial Condition and Results of Operations</w:t>
            </w:r>
          </w:p>
        </w:tc>
        <w:tc>
          <w:tcPr>
            <w:tcW w:w="760" w:type="dxa"/>
            <w:vAlign w:val="bottom"/>
            <w:gridSpan w:val="3"/>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69</w:t>
            </w:r>
          </w:p>
        </w:tc>
      </w:tr>
      <w:tr>
        <w:trPr>
          <w:trHeight w:val="265"/>
        </w:trPr>
        <w:tc>
          <w:tcPr>
            <w:tcW w:w="240" w:type="dxa"/>
            <w:vAlign w:val="bottom"/>
          </w:tcPr>
          <w:p>
            <w:pPr>
              <w:spacing w:after="0"/>
              <w:rPr>
                <w:sz w:val="23"/>
                <w:szCs w:val="23"/>
                <w:color w:val="auto"/>
              </w:rPr>
            </w:pPr>
          </w:p>
        </w:tc>
        <w:tc>
          <w:tcPr>
            <w:tcW w:w="5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Item 7A. Quantitative and Qualitative Disclosures About Market Risk</w:t>
            </w:r>
          </w:p>
        </w:tc>
        <w:tc>
          <w:tcPr>
            <w:tcW w:w="2960" w:type="dxa"/>
            <w:vAlign w:val="bottom"/>
            <w:gridSpan w:val="7"/>
          </w:tcPr>
          <w:p>
            <w:pPr>
              <w:spacing w:after="0"/>
              <w:rPr>
                <w:sz w:val="23"/>
                <w:szCs w:val="23"/>
                <w:color w:val="auto"/>
              </w:rPr>
            </w:pPr>
          </w:p>
        </w:tc>
        <w:tc>
          <w:tcPr>
            <w:tcW w:w="240" w:type="dxa"/>
            <w:vAlign w:val="bottom"/>
            <w:gridSpan w:val="2"/>
          </w:tcPr>
          <w:p>
            <w:pPr>
              <w:spacing w:after="0"/>
              <w:rPr>
                <w:sz w:val="23"/>
                <w:szCs w:val="23"/>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265"/>
        </w:trPr>
        <w:tc>
          <w:tcPr>
            <w:tcW w:w="240" w:type="dxa"/>
            <w:vAlign w:val="bottom"/>
          </w:tcPr>
          <w:p>
            <w:pPr>
              <w:spacing w:after="0"/>
              <w:rPr>
                <w:sz w:val="23"/>
                <w:szCs w:val="23"/>
                <w:color w:val="auto"/>
              </w:rPr>
            </w:pPr>
          </w:p>
        </w:tc>
        <w:tc>
          <w:tcPr>
            <w:tcW w:w="8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Item 8. Financial Statements and Supplementary Data</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82</w:t>
            </w:r>
          </w:p>
        </w:tc>
      </w:tr>
      <w:tr>
        <w:trPr>
          <w:trHeight w:val="20"/>
        </w:trPr>
        <w:tc>
          <w:tcPr>
            <w:tcW w:w="2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77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9"/>
              </w:rPr>
              <w:t>Item 9. Changes In and Disagreement With Accountants on Accounting and Financial Disclosure</w:t>
            </w:r>
          </w:p>
        </w:tc>
        <w:tc>
          <w:tcPr>
            <w:tcW w:w="780" w:type="dxa"/>
            <w:vAlign w:val="bottom"/>
            <w:gridSpan w:val="4"/>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108</w:t>
            </w:r>
          </w:p>
        </w:tc>
      </w:tr>
      <w:tr>
        <w:trPr>
          <w:trHeight w:val="265"/>
        </w:trPr>
        <w:tc>
          <w:tcPr>
            <w:tcW w:w="240" w:type="dxa"/>
            <w:vAlign w:val="bottom"/>
          </w:tcPr>
          <w:p>
            <w:pPr>
              <w:spacing w:after="0"/>
              <w:rPr>
                <w:sz w:val="23"/>
                <w:szCs w:val="23"/>
                <w:color w:val="auto"/>
              </w:rPr>
            </w:pPr>
          </w:p>
        </w:tc>
        <w:tc>
          <w:tcPr>
            <w:tcW w:w="2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9"/>
              </w:rPr>
              <w:t>Item 9A. Controls and Procedures</w:t>
            </w:r>
          </w:p>
        </w:tc>
        <w:tc>
          <w:tcPr>
            <w:tcW w:w="5820" w:type="dxa"/>
            <w:vAlign w:val="bottom"/>
            <w:gridSpan w:val="13"/>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108</w:t>
            </w:r>
          </w:p>
        </w:tc>
      </w:tr>
      <w:tr>
        <w:trPr>
          <w:trHeight w:val="265"/>
        </w:trPr>
        <w:tc>
          <w:tcPr>
            <w:tcW w:w="240" w:type="dxa"/>
            <w:vAlign w:val="bottom"/>
          </w:tcPr>
          <w:p>
            <w:pPr>
              <w:spacing w:after="0"/>
              <w:rPr>
                <w:sz w:val="23"/>
                <w:szCs w:val="23"/>
                <w:color w:val="auto"/>
              </w:rPr>
            </w:pPr>
          </w:p>
        </w:tc>
        <w:tc>
          <w:tcPr>
            <w:tcW w:w="8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Item 9B. Other Information</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109</w:t>
            </w:r>
          </w:p>
        </w:tc>
      </w:tr>
      <w:tr>
        <w:trPr>
          <w:trHeight w:val="20"/>
        </w:trPr>
        <w:tc>
          <w:tcPr>
            <w:tcW w:w="2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8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Item 9C. Disclosure Regarding Foreign Jurisdictions that Prevent Inspections</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109</w:t>
            </w:r>
          </w:p>
        </w:tc>
      </w:tr>
      <w:tr>
        <w:trPr>
          <w:trHeight w:val="20"/>
        </w:trPr>
        <w:tc>
          <w:tcPr>
            <w:tcW w:w="2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65"/>
        </w:trPr>
        <w:tc>
          <w:tcPr>
            <w:tcW w:w="8800" w:type="dxa"/>
            <w:vAlign w:val="bottom"/>
            <w:gridSpan w:val="32"/>
          </w:tcPr>
          <w:p>
            <w:pPr>
              <w:spacing w:after="0"/>
              <w:rPr>
                <w:sz w:val="20"/>
                <w:szCs w:val="20"/>
                <w:color w:val="auto"/>
              </w:rPr>
            </w:pPr>
            <w:r>
              <w:rPr>
                <w:rFonts w:ascii="Times New Roman" w:cs="Times New Roman" w:eastAsia="Times New Roman" w:hAnsi="Times New Roman"/>
                <w:sz w:val="20"/>
                <w:szCs w:val="20"/>
                <w:color w:val="0000FF"/>
              </w:rPr>
              <w:t>Part III</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52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9"/>
              </w:rPr>
              <w:t>Item 10. Directors, Executive Officers and Corporate Governance</w:t>
            </w:r>
          </w:p>
        </w:tc>
        <w:tc>
          <w:tcPr>
            <w:tcW w:w="3300" w:type="dxa"/>
            <w:vAlign w:val="bottom"/>
            <w:gridSpan w:val="8"/>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110</w:t>
            </w:r>
          </w:p>
        </w:tc>
      </w:tr>
      <w:tr>
        <w:trPr>
          <w:trHeight w:val="265"/>
        </w:trPr>
        <w:tc>
          <w:tcPr>
            <w:tcW w:w="240" w:type="dxa"/>
            <w:vAlign w:val="bottom"/>
          </w:tcPr>
          <w:p>
            <w:pPr>
              <w:spacing w:after="0"/>
              <w:rPr>
                <w:sz w:val="23"/>
                <w:szCs w:val="23"/>
                <w:color w:val="auto"/>
              </w:rPr>
            </w:pPr>
          </w:p>
        </w:tc>
        <w:tc>
          <w:tcPr>
            <w:tcW w:w="2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9"/>
              </w:rPr>
              <w:t>Item 11. Executive Compensation</w:t>
            </w:r>
          </w:p>
        </w:tc>
        <w:tc>
          <w:tcPr>
            <w:tcW w:w="5840" w:type="dxa"/>
            <w:vAlign w:val="bottom"/>
            <w:gridSpan w:val="14"/>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110</w:t>
            </w:r>
          </w:p>
        </w:tc>
      </w:tr>
      <w:tr>
        <w:trPr>
          <w:trHeight w:val="265"/>
        </w:trPr>
        <w:tc>
          <w:tcPr>
            <w:tcW w:w="240" w:type="dxa"/>
            <w:vAlign w:val="bottom"/>
          </w:tcPr>
          <w:p>
            <w:pPr>
              <w:spacing w:after="0"/>
              <w:rPr>
                <w:sz w:val="23"/>
                <w:szCs w:val="23"/>
                <w:color w:val="auto"/>
              </w:rPr>
            </w:pPr>
          </w:p>
        </w:tc>
        <w:tc>
          <w:tcPr>
            <w:tcW w:w="8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20"/>
                <w:szCs w:val="20"/>
                <w:color w:val="0000FF"/>
              </w:rPr>
              <w:t>Item 12. Security Ownership of Certain Beneficial Owners and Management and Related Stockholder</w:t>
            </w:r>
          </w:p>
        </w:tc>
        <w:tc>
          <w:tcPr>
            <w:tcW w:w="36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240" w:type="dxa"/>
            <w:vAlign w:val="bottom"/>
          </w:tcPr>
          <w:p>
            <w:pPr>
              <w:spacing w:after="0"/>
              <w:rPr>
                <w:sz w:val="19"/>
                <w:szCs w:val="19"/>
                <w:color w:val="auto"/>
              </w:rPr>
            </w:pPr>
          </w:p>
        </w:tc>
        <w:tc>
          <w:tcPr>
            <w:tcW w:w="8560" w:type="dxa"/>
            <w:vAlign w:val="bottom"/>
            <w:gridSpan w:val="31"/>
          </w:tcPr>
          <w:p>
            <w:pPr>
              <w:spacing w:after="0" w:line="220" w:lineRule="exact"/>
              <w:rPr>
                <w:sz w:val="20"/>
                <w:szCs w:val="20"/>
                <w:color w:val="auto"/>
              </w:rPr>
            </w:pPr>
            <w:r>
              <w:rPr>
                <w:rFonts w:ascii="Times New Roman" w:cs="Times New Roman" w:eastAsia="Times New Roman" w:hAnsi="Times New Roman"/>
                <w:sz w:val="20"/>
                <w:szCs w:val="20"/>
                <w:color w:val="0000FF"/>
              </w:rPr>
              <w:t>Matters</w:t>
            </w:r>
          </w:p>
        </w:tc>
        <w:tc>
          <w:tcPr>
            <w:tcW w:w="440" w:type="dxa"/>
            <w:vAlign w:val="bottom"/>
            <w:gridSpan w:val="5"/>
          </w:tcPr>
          <w:p>
            <w:pPr>
              <w:jc w:val="right"/>
              <w:spacing w:after="0" w:line="220" w:lineRule="exact"/>
              <w:rPr>
                <w:sz w:val="20"/>
                <w:szCs w:val="20"/>
                <w:color w:val="auto"/>
              </w:rPr>
            </w:pPr>
            <w:r>
              <w:rPr>
                <w:rFonts w:ascii="Times New Roman" w:cs="Times New Roman" w:eastAsia="Times New Roman" w:hAnsi="Times New Roman"/>
                <w:sz w:val="20"/>
                <w:szCs w:val="20"/>
                <w:color w:val="0000FF"/>
              </w:rPr>
              <w:t>110</w:t>
            </w:r>
          </w:p>
        </w:tc>
      </w:tr>
      <w:tr>
        <w:trPr>
          <w:trHeight w:val="20"/>
        </w:trPr>
        <w:tc>
          <w:tcPr>
            <w:tcW w:w="240" w:type="dxa"/>
            <w:vAlign w:val="bottom"/>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8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Item 13. Certain Relationships and Related Transactions, and Director Independence</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110</w:t>
            </w:r>
          </w:p>
        </w:tc>
      </w:tr>
      <w:tr>
        <w:trPr>
          <w:trHeight w:val="265"/>
        </w:trPr>
        <w:tc>
          <w:tcPr>
            <w:tcW w:w="240" w:type="dxa"/>
            <w:vAlign w:val="bottom"/>
          </w:tcPr>
          <w:p>
            <w:pPr>
              <w:spacing w:after="0"/>
              <w:rPr>
                <w:sz w:val="23"/>
                <w:szCs w:val="23"/>
                <w:color w:val="auto"/>
              </w:rPr>
            </w:pPr>
          </w:p>
        </w:tc>
        <w:tc>
          <w:tcPr>
            <w:tcW w:w="390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Item 14. Principal Accounting Fees and Services</w:t>
            </w:r>
          </w:p>
        </w:tc>
        <w:tc>
          <w:tcPr>
            <w:tcW w:w="2860" w:type="dxa"/>
            <w:vAlign w:val="bottom"/>
            <w:tcBorders>
              <w:top w:val="single" w:sz="8" w:color="0000FF"/>
            </w:tcBorders>
            <w:gridSpan w:val="6"/>
          </w:tcPr>
          <w:p>
            <w:pPr>
              <w:spacing w:after="0"/>
              <w:rPr>
                <w:sz w:val="23"/>
                <w:szCs w:val="23"/>
                <w:color w:val="auto"/>
              </w:rPr>
            </w:pPr>
          </w:p>
        </w:tc>
        <w:tc>
          <w:tcPr>
            <w:tcW w:w="1800" w:type="dxa"/>
            <w:vAlign w:val="bottom"/>
            <w:gridSpan w:val="5"/>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110</w:t>
            </w:r>
          </w:p>
        </w:tc>
      </w:tr>
      <w:tr>
        <w:trPr>
          <w:trHeight w:val="265"/>
        </w:trPr>
        <w:tc>
          <w:tcPr>
            <w:tcW w:w="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5"/>
              </w:rPr>
              <w:t>Part IV</w:t>
            </w:r>
          </w:p>
        </w:tc>
        <w:tc>
          <w:tcPr>
            <w:tcW w:w="8220" w:type="dxa"/>
            <w:vAlign w:val="bottom"/>
            <w:gridSpan w:val="27"/>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240" w:type="dxa"/>
            <w:vAlign w:val="bottom"/>
          </w:tcPr>
          <w:p>
            <w:pPr>
              <w:spacing w:after="0"/>
              <w:rPr>
                <w:sz w:val="23"/>
                <w:szCs w:val="23"/>
                <w:color w:val="auto"/>
              </w:rPr>
            </w:pPr>
          </w:p>
        </w:tc>
        <w:tc>
          <w:tcPr>
            <w:tcW w:w="8560" w:type="dxa"/>
            <w:vAlign w:val="bottom"/>
            <w:gridSpan w:val="31"/>
          </w:tcPr>
          <w:p>
            <w:pPr>
              <w:spacing w:after="0"/>
              <w:rPr>
                <w:sz w:val="20"/>
                <w:szCs w:val="20"/>
                <w:color w:val="auto"/>
              </w:rPr>
            </w:pPr>
            <w:r>
              <w:rPr>
                <w:rFonts w:ascii="Times New Roman" w:cs="Times New Roman" w:eastAsia="Times New Roman" w:hAnsi="Times New Roman"/>
                <w:sz w:val="20"/>
                <w:szCs w:val="20"/>
                <w:color w:val="0000FF"/>
              </w:rPr>
              <w:t>Item 15. Exhibits, Financial Statement Schedules</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w:t>
            </w:r>
          </w:p>
        </w:tc>
      </w:tr>
      <w:tr>
        <w:trPr>
          <w:trHeight w:val="20"/>
        </w:trPr>
        <w:tc>
          <w:tcPr>
            <w:tcW w:w="240" w:type="dxa"/>
            <w:vAlign w:val="bottom"/>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2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Item 16. Form 10-K Summary</w:t>
            </w:r>
          </w:p>
        </w:tc>
        <w:tc>
          <w:tcPr>
            <w:tcW w:w="1480" w:type="dxa"/>
            <w:vAlign w:val="bottom"/>
            <w:gridSpan w:val="6"/>
          </w:tcPr>
          <w:p>
            <w:pPr>
              <w:spacing w:after="0"/>
              <w:rPr>
                <w:sz w:val="23"/>
                <w:szCs w:val="23"/>
                <w:color w:val="auto"/>
              </w:rPr>
            </w:pPr>
          </w:p>
        </w:tc>
        <w:tc>
          <w:tcPr>
            <w:tcW w:w="4640" w:type="dxa"/>
            <w:vAlign w:val="bottom"/>
            <w:gridSpan w:val="10"/>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111</w:t>
            </w:r>
          </w:p>
        </w:tc>
      </w:tr>
      <w:tr>
        <w:trPr>
          <w:trHeight w:val="265"/>
        </w:trPr>
        <w:tc>
          <w:tcPr>
            <w:tcW w:w="240" w:type="dxa"/>
            <w:vAlign w:val="bottom"/>
          </w:tcPr>
          <w:p>
            <w:pPr>
              <w:spacing w:after="0"/>
              <w:rPr>
                <w:sz w:val="23"/>
                <w:szCs w:val="23"/>
                <w:color w:val="auto"/>
              </w:rPr>
            </w:pPr>
          </w:p>
        </w:tc>
        <w:tc>
          <w:tcPr>
            <w:tcW w:w="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7680" w:type="dxa"/>
            <w:vAlign w:val="bottom"/>
            <w:gridSpan w:val="25"/>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93"/>
              </w:rPr>
              <w:t>112</w:t>
            </w:r>
          </w:p>
        </w:tc>
      </w:tr>
    </w:tbl>
    <w:p>
      <w:pPr>
        <w:sectPr>
          <w:pgSz w:w="12240" w:h="15840" w:orient="portrait"/>
          <w:cols w:equalWidth="0" w:num="1">
            <w:col w:w="9360"/>
          </w:cols>
          <w:pgMar w:left="1440" w:top="1371" w:right="1440" w:bottom="1440" w:gutter="0" w:footer="0" w:header="0"/>
        </w:sectPr>
      </w:pPr>
    </w:p>
    <w:bookmarkStart w:id="3" w:name="page4"/>
    <w:bookmarkEnd w:id="3"/>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17" w:lineRule="exact"/>
        <w:rPr>
          <w:sz w:val="20"/>
          <w:szCs w:val="20"/>
          <w:color w:val="auto"/>
        </w:rPr>
      </w:pPr>
    </w:p>
    <w:p>
      <w:pPr>
        <w:ind w:firstLine="450"/>
        <w:spacing w:after="0" w:line="267" w:lineRule="auto"/>
        <w:rPr>
          <w:sz w:val="20"/>
          <w:szCs w:val="20"/>
          <w:color w:val="auto"/>
        </w:rPr>
      </w:pPr>
      <w:r>
        <w:rPr>
          <w:rFonts w:ascii="Times New Roman" w:cs="Times New Roman" w:eastAsia="Times New Roman" w:hAnsi="Times New Roman"/>
          <w:sz w:val="19"/>
          <w:szCs w:val="19"/>
          <w:color w:val="auto"/>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are forward-looking statements. In some cases, you can identify forward-looking statements by terms such as “may,” “will,” “should,” “would,” “expect,” “plan,” “anticipate,” “could,” “might,” “intend,” “target,” “ongoing,” “project,” “estimate,” “believe,” “estimate,” “predict,” “potential” or “continue” or the negative of these terms or other similar expressions intended to identify statements about the future. These statements speak only as of the date of this Annual Report and involve known and unknown risks, uncertainties and other important factors that may cause our actual results, levels of activity, performance or achievements to be materially different from any future results, levels of activity,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w:t>
      </w:r>
    </w:p>
    <w:p>
      <w:pPr>
        <w:spacing w:after="0" w:line="160" w:lineRule="exact"/>
        <w:rPr>
          <w:sz w:val="20"/>
          <w:szCs w:val="20"/>
          <w:color w:val="auto"/>
        </w:rPr>
      </w:pPr>
    </w:p>
    <w:p>
      <w:pPr>
        <w:ind w:left="1260" w:hanging="72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in-license or acquire and develop additional novel therapeutic candidates;</w:t>
      </w:r>
    </w:p>
    <w:p>
      <w:pPr>
        <w:spacing w:after="0" w:line="130"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our expenses, ongoing losses, future revenue, capital requirements and our need for or ability to obtain additional funding;</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or maintain collaborations or strategic relationships;</w:t>
      </w:r>
    </w:p>
    <w:p>
      <w:pPr>
        <w:spacing w:after="0" w:line="130"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recruit and retain key personnel, including executive officers and members of management;</w:t>
      </w:r>
    </w:p>
    <w:p>
      <w:pPr>
        <w:spacing w:after="0" w:line="61" w:lineRule="exact"/>
        <w:rPr>
          <w:rFonts w:ascii="Times New Roman" w:cs="Times New Roman" w:eastAsia="Times New Roman" w:hAnsi="Times New Roman"/>
          <w:sz w:val="20"/>
          <w:szCs w:val="20"/>
          <w:color w:val="auto"/>
        </w:rPr>
      </w:pPr>
    </w:p>
    <w:p>
      <w:pPr>
        <w:ind w:left="1260" w:right="50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upon intellectual property licensed from third parties and our ability to obtain such licenses on commercially reasonable terms or at all;</w:t>
      </w:r>
    </w:p>
    <w:p>
      <w:pPr>
        <w:spacing w:after="0" w:line="61" w:lineRule="exact"/>
        <w:rPr>
          <w:rFonts w:ascii="Times New Roman" w:cs="Times New Roman" w:eastAsia="Times New Roman" w:hAnsi="Times New Roman"/>
          <w:sz w:val="20"/>
          <w:szCs w:val="20"/>
          <w:color w:val="auto"/>
        </w:rPr>
      </w:pPr>
    </w:p>
    <w:p>
      <w:pPr>
        <w:ind w:left="1260" w:right="34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and enforce our intellectual property position for any product candidates we may in-license or acquire, and the scope of such protection;</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performance;</w:t>
      </w:r>
    </w:p>
    <w:p>
      <w:pPr>
        <w:spacing w:after="0" w:line="130"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over which we estimate our existing cash, cash equivalents and marketable securities will be sufficient to fund our future operating expenses and capital expenditure requirements;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130" w:lineRule="exact"/>
        <w:rPr>
          <w:rFonts w:ascii="Times New Roman" w:cs="Times New Roman" w:eastAsia="Times New Roman" w:hAnsi="Times New Roman"/>
          <w:sz w:val="20"/>
          <w:szCs w:val="20"/>
          <w:color w:val="auto"/>
        </w:rPr>
      </w:pPr>
    </w:p>
    <w:p>
      <w:pPr>
        <w:ind w:left="1260" w:right="24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competitive position and the development of and projections relating to our competitors or our industry;</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laws and regulations;</w:t>
      </w:r>
    </w:p>
    <w:p>
      <w:pPr>
        <w:spacing w:after="0" w:line="130" w:lineRule="exact"/>
        <w:rPr>
          <w:rFonts w:ascii="Times New Roman" w:cs="Times New Roman" w:eastAsia="Times New Roman" w:hAnsi="Times New Roman"/>
          <w:sz w:val="20"/>
          <w:szCs w:val="20"/>
          <w:color w:val="auto"/>
        </w:rPr>
      </w:pPr>
    </w:p>
    <w:p>
      <w:pPr>
        <w:ind w:left="1260" w:right="40" w:hanging="720"/>
        <w:spacing w:after="0" w:line="281"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time during which we will be an emerging growth company under the Jumpstart Our Business Startups Act of 2012;</w:t>
      </w:r>
    </w:p>
    <w:p>
      <w:pPr>
        <w:spacing w:after="0" w:line="61" w:lineRule="exact"/>
        <w:rPr>
          <w:rFonts w:ascii="Times New Roman" w:cs="Times New Roman" w:eastAsia="Times New Roman" w:hAnsi="Times New Roman"/>
          <w:sz w:val="20"/>
          <w:szCs w:val="20"/>
          <w:color w:val="auto"/>
        </w:rPr>
      </w:pPr>
    </w:p>
    <w:p>
      <w:pPr>
        <w:ind w:left="1260" w:right="300" w:hanging="720"/>
        <w:spacing w:after="0" w:line="266" w:lineRule="auto"/>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economic conditions, including increases in interest rates, inflation, and foreign and domestic tariffs, on the costs of raw materials, wages, manufacturing and clinical trials and on borrowing costs; and</w:t>
      </w:r>
    </w:p>
    <w:p>
      <w:pPr>
        <w:spacing w:after="0" w:line="75" w:lineRule="exact"/>
        <w:rPr>
          <w:rFonts w:ascii="Times New Roman" w:cs="Times New Roman" w:eastAsia="Times New Roman" w:hAnsi="Times New Roman"/>
          <w:sz w:val="20"/>
          <w:szCs w:val="20"/>
          <w:color w:val="auto"/>
        </w:rPr>
      </w:pPr>
    </w:p>
    <w:p>
      <w:pPr>
        <w:ind w:left="1260" w:right="500" w:hanging="720"/>
        <w:spacing w:after="0" w:line="309" w:lineRule="auto"/>
        <w:tabs>
          <w:tab w:leader="none" w:pos="12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anticipated amounts of future tax payments and benefits (including the potential recognition of unrecognized tax benefits), as well as timing of conclusion of tax audits.</w:t>
      </w:r>
    </w:p>
    <w:p>
      <w:pPr>
        <w:spacing w:after="0" w:line="117" w:lineRule="exact"/>
        <w:rPr>
          <w:sz w:val="20"/>
          <w:szCs w:val="20"/>
          <w:color w:val="auto"/>
        </w:rPr>
      </w:pPr>
    </w:p>
    <w:p>
      <w:pPr>
        <w:ind w:right="60" w:firstLine="450"/>
        <w:spacing w:after="0" w:line="275" w:lineRule="auto"/>
        <w:rPr>
          <w:sz w:val="20"/>
          <w:szCs w:val="20"/>
          <w:color w:val="auto"/>
        </w:rPr>
      </w:pPr>
      <w:r>
        <w:rPr>
          <w:rFonts w:ascii="Times New Roman" w:cs="Times New Roman" w:eastAsia="Times New Roman" w:hAnsi="Times New Roman"/>
          <w:sz w:val="19"/>
          <w:szCs w:val="19"/>
          <w:color w:val="auto"/>
        </w:rPr>
        <w:t>You should read this Annual Report and the documents that we have filed as exhibits to this Annual Report completely and with the understanding that our actual future results may be materially different from what we expect. The forward-looking statements contained in this Annual Report are made as of the date of this Annual Report, and we do not assume any obligation to update any forward-looking statements, whether as a result of new information, future events or otherwise, except as required by applicable law. We have included important factors in</w:t>
      </w:r>
    </w:p>
    <w:p>
      <w:pPr>
        <w:sectPr>
          <w:pgSz w:w="12240" w:h="15840" w:orient="portrait"/>
          <w:cols w:equalWidth="0" w:num="1">
            <w:col w:w="9360"/>
          </w:cols>
          <w:pgMar w:left="1440" w:top="1440" w:right="1440" w:bottom="1125" w:gutter="0" w:footer="0" w:header="0"/>
        </w:sectPr>
      </w:pPr>
    </w:p>
    <w:bookmarkStart w:id="4" w:name="page5"/>
    <w:bookmarkEnd w:id="4"/>
    <w:p>
      <w:pPr>
        <w:ind w:right="160"/>
        <w:spacing w:after="0" w:line="281" w:lineRule="auto"/>
        <w:rPr>
          <w:sz w:val="20"/>
          <w:szCs w:val="20"/>
          <w:color w:val="auto"/>
        </w:rPr>
      </w:pPr>
      <w:r>
        <w:rPr>
          <w:rFonts w:ascii="Times New Roman" w:cs="Times New Roman" w:eastAsia="Times New Roman" w:hAnsi="Times New Roman"/>
          <w:sz w:val="20"/>
          <w:szCs w:val="20"/>
          <w:color w:val="auto"/>
        </w:rPr>
        <w:t>this Annual Report, particularly in the “Risk Factor Summary” and “Risk Factors” sections, that could cause actual results or events to differ materially from the forward-looking statements that we make.</w:t>
      </w:r>
    </w:p>
    <w:p>
      <w:pPr>
        <w:sectPr>
          <w:pgSz w:w="12240" w:h="15840" w:orient="portrait"/>
          <w:cols w:equalWidth="0" w:num="1">
            <w:col w:w="9360"/>
          </w:cols>
          <w:pgMar w:left="1440" w:top="1378" w:right="1440" w:bottom="1440" w:gutter="0" w:footer="0" w:header="0"/>
        </w:sectPr>
      </w:pPr>
    </w:p>
    <w:bookmarkStart w:id="5" w:name="page6"/>
    <w:bookmarkEnd w:id="5"/>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13" w:lineRule="exact"/>
        <w:rPr>
          <w:sz w:val="20"/>
          <w:szCs w:val="20"/>
          <w:color w:val="auto"/>
        </w:rPr>
      </w:pPr>
    </w:p>
    <w:p>
      <w:pPr>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Investing in our securities involves a high degree of risk. Below is a summary of material factors that make an investment in our securities speculative or risky. Importantly, this summary does not address every aspect of our risk factors, all of the risks that we face, or other factors not presently known to us or that we currently believe are immaterial. Additional discussion of the risks summarized in this Risk Factor Summary, as well as other risks that we face, can be found under the heading “Risk Factors” in Part I of this Annual Report.</w:t>
      </w:r>
    </w:p>
    <w:p>
      <w:pPr>
        <w:spacing w:after="0" w:line="163" w:lineRule="exact"/>
        <w:rPr>
          <w:sz w:val="20"/>
          <w:szCs w:val="20"/>
          <w:color w:val="auto"/>
        </w:rPr>
      </w:pPr>
    </w:p>
    <w:p>
      <w:pPr>
        <w:ind w:right="180" w:firstLine="450"/>
        <w:spacing w:after="0" w:line="281" w:lineRule="auto"/>
        <w:rPr>
          <w:sz w:val="20"/>
          <w:szCs w:val="20"/>
          <w:color w:val="auto"/>
        </w:rPr>
      </w:pPr>
      <w:r>
        <w:rPr>
          <w:rFonts w:ascii="Times New Roman" w:cs="Times New Roman" w:eastAsia="Times New Roman" w:hAnsi="Times New Roman"/>
          <w:sz w:val="20"/>
          <w:szCs w:val="20"/>
          <w:color w:val="auto"/>
        </w:rPr>
        <w:t>Our business is subject to a number of risks of which you should be aware before making a decision to invest in our common stock. These risks include, among others, the following:</w:t>
      </w:r>
    </w:p>
    <w:p>
      <w:pPr>
        <w:spacing w:after="0" w:line="141" w:lineRule="exact"/>
        <w:rPr>
          <w:sz w:val="20"/>
          <w:szCs w:val="20"/>
          <w:color w:val="auto"/>
        </w:rPr>
      </w:pPr>
    </w:p>
    <w:p>
      <w:pPr>
        <w:ind w:left="1260" w:right="160" w:hanging="720"/>
        <w:spacing w:after="0" w:line="26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significant losses since our inception and have identified an indicator of substantial doubt about our ability to continue as a going concern. We expect to incur losses for the foreseeable future and may never achieve or maintain profitability.</w:t>
      </w:r>
    </w:p>
    <w:p>
      <w:pPr>
        <w:spacing w:after="0" w:line="75" w:lineRule="exact"/>
        <w:rPr>
          <w:rFonts w:ascii="Times New Roman" w:cs="Times New Roman" w:eastAsia="Times New Roman" w:hAnsi="Times New Roman"/>
          <w:sz w:val="20"/>
          <w:szCs w:val="20"/>
          <w:color w:val="auto"/>
        </w:rPr>
      </w:pPr>
    </w:p>
    <w:p>
      <w:pPr>
        <w:ind w:left="1260" w:right="140" w:hanging="720"/>
        <w:spacing w:after="0" w:line="26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limited operating history and no history of completing any clinical trial or commercializing any product, which may make it difficult for an investor to evaluate the success of our business to date and to assess our future viability.</w:t>
      </w:r>
    </w:p>
    <w:p>
      <w:pPr>
        <w:spacing w:after="0" w:line="75" w:lineRule="exact"/>
        <w:rPr>
          <w:rFonts w:ascii="Times New Roman" w:cs="Times New Roman" w:eastAsia="Times New Roman" w:hAnsi="Times New Roman"/>
          <w:sz w:val="20"/>
          <w:szCs w:val="20"/>
          <w:color w:val="auto"/>
        </w:rPr>
      </w:pPr>
    </w:p>
    <w:p>
      <w:pPr>
        <w:ind w:left="1260" w:right="320" w:hanging="720"/>
        <w:spacing w:after="0" w:line="26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substantial additional funding to meet our financial obligations and to pursue our business objectives. If we are unable to raise capital when needed, we could be forced to delay or curtail our planned operations and the pursuit of our strategy.</w:t>
      </w:r>
    </w:p>
    <w:p>
      <w:pPr>
        <w:spacing w:after="0" w:line="75" w:lineRule="exact"/>
        <w:rPr>
          <w:rFonts w:ascii="Times New Roman" w:cs="Times New Roman" w:eastAsia="Times New Roman" w:hAnsi="Times New Roman"/>
          <w:sz w:val="20"/>
          <w:szCs w:val="20"/>
          <w:color w:val="auto"/>
        </w:rPr>
      </w:pPr>
    </w:p>
    <w:p>
      <w:pPr>
        <w:ind w:left="1260" w:right="280" w:hanging="720"/>
        <w:spacing w:after="0" w:line="260"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do not have a product candidate in active development. We have, and we may in the future, engage in strategic transactions to license or otherwise acquire new product candidates or technologies, and we may not be successful in licensing or otherwise acquiring new product candidates, or in developing or commercializing any such product candidates.</w:t>
      </w:r>
    </w:p>
    <w:p>
      <w:pPr>
        <w:spacing w:after="0" w:line="83" w:lineRule="exact"/>
        <w:rPr>
          <w:rFonts w:ascii="Times New Roman" w:cs="Times New Roman" w:eastAsia="Times New Roman" w:hAnsi="Times New Roman"/>
          <w:sz w:val="20"/>
          <w:szCs w:val="20"/>
          <w:color w:val="auto"/>
        </w:rPr>
      </w:pPr>
    </w:p>
    <w:p>
      <w:pPr>
        <w:ind w:left="1260" w:right="60" w:hanging="72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approval processes of the U.S. Food and Drug Administration, or FDA, Medicines and Healthcare Products Regulatory Agency, or MHRA, European Medicines Agency, or EMA, and comparable foreign authorities are lengthy, time consuming and inherently unpredictable. If we are not able to obtain required regulatory approval for any product candidate we may seek to develop, our business will be substantially harmed.</w:t>
      </w:r>
    </w:p>
    <w:p>
      <w:pPr>
        <w:spacing w:after="0" w:line="83" w:lineRule="exact"/>
        <w:rPr>
          <w:rFonts w:ascii="Times New Roman" w:cs="Times New Roman" w:eastAsia="Times New Roman" w:hAnsi="Times New Roman"/>
          <w:sz w:val="20"/>
          <w:szCs w:val="20"/>
          <w:color w:val="auto"/>
        </w:rPr>
      </w:pPr>
    </w:p>
    <w:p>
      <w:pPr>
        <w:ind w:left="1260" w:right="380" w:hanging="720"/>
        <w:spacing w:after="0" w:line="26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in preclinical studies or earlier clinical trials may not be indicative of results in future clinical trials. Any product candidates we may seek to develop may not have favorable results in later clinical trials, if any, or receive regulatory approval.</w:t>
      </w:r>
    </w:p>
    <w:p>
      <w:pPr>
        <w:spacing w:after="0" w:line="75" w:lineRule="exact"/>
        <w:rPr>
          <w:rFonts w:ascii="Times New Roman" w:cs="Times New Roman" w:eastAsia="Times New Roman" w:hAnsi="Times New Roman"/>
          <w:sz w:val="20"/>
          <w:szCs w:val="20"/>
          <w:color w:val="auto"/>
        </w:rPr>
      </w:pPr>
    </w:p>
    <w:p>
      <w:pPr>
        <w:ind w:left="1260" w:right="140" w:hanging="720"/>
        <w:spacing w:after="0" w:line="25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Therapeutic product candidates can be complex and difficult to manufacture. We intend to rely on third parties to produce clinical supply of any product candidates we may seek to develop, and commercial supplies of any approved product. This reliance on third parties increases the risk that we will not have sufficient quantities of our product candidates or any approved products or such quantities at an acceptable cost or quality, which could delay, prevent or impair our development or commercialization efforts.</w:t>
      </w:r>
    </w:p>
    <w:p>
      <w:pPr>
        <w:spacing w:after="0" w:line="88" w:lineRule="exact"/>
        <w:rPr>
          <w:rFonts w:ascii="Times New Roman" w:cs="Times New Roman" w:eastAsia="Times New Roman" w:hAnsi="Times New Roman"/>
          <w:sz w:val="20"/>
          <w:szCs w:val="20"/>
          <w:color w:val="auto"/>
        </w:rPr>
      </w:pPr>
    </w:p>
    <w:p>
      <w:pPr>
        <w:ind w:left="1260" w:right="120" w:hanging="720"/>
        <w:spacing w:after="0" w:line="266"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from other biotechnology and pharmaceutical companies, and from non-profit institutions, which may result in others acquiring, discovering, developing or commercializing products before or more successfully than we do.</w:t>
      </w:r>
    </w:p>
    <w:p>
      <w:pPr>
        <w:spacing w:after="0" w:line="75" w:lineRule="exact"/>
        <w:rPr>
          <w:rFonts w:ascii="Times New Roman" w:cs="Times New Roman" w:eastAsia="Times New Roman" w:hAnsi="Times New Roman"/>
          <w:sz w:val="20"/>
          <w:szCs w:val="20"/>
          <w:color w:val="auto"/>
        </w:rPr>
      </w:pPr>
    </w:p>
    <w:p>
      <w:pPr>
        <w:ind w:left="1260" w:right="100" w:hanging="720"/>
        <w:spacing w:after="0" w:line="258"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or our future licensors are unable to obtain and maintain sufficient patent protection for any product candidate we may seek to develop, or if the scope of the patent protection is not sufficiently broad, third parties, including our potential competitors, could develop and commercialize products similar or identical to ours, and our ability to commercialize such product candidates may be adversely affected.</w:t>
      </w:r>
    </w:p>
    <w:p>
      <w:pPr>
        <w:spacing w:after="0" w:line="83" w:lineRule="exact"/>
        <w:rPr>
          <w:rFonts w:ascii="Times New Roman" w:cs="Times New Roman" w:eastAsia="Times New Roman" w:hAnsi="Times New Roman"/>
          <w:sz w:val="20"/>
          <w:szCs w:val="20"/>
          <w:color w:val="auto"/>
        </w:rPr>
      </w:pPr>
    </w:p>
    <w:p>
      <w:pPr>
        <w:ind w:left="1260" w:right="80" w:hanging="720"/>
        <w:spacing w:after="0" w:line="281"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initiate legal proceedings alleging that we are infringing their intellectual property rights, the outcome of which would be uncertain.</w:t>
      </w:r>
    </w:p>
    <w:p>
      <w:pPr>
        <w:sectPr>
          <w:pgSz w:w="12240" w:h="15840" w:orient="portrait"/>
          <w:cols w:equalWidth="0" w:num="1">
            <w:col w:w="9360"/>
          </w:cols>
          <w:pgMar w:left="1440" w:top="1440" w:right="1440" w:bottom="1119" w:gutter="0" w:footer="0" w:header="0"/>
        </w:sectPr>
      </w:pPr>
    </w:p>
    <w:bookmarkStart w:id="6" w:name="page7"/>
    <w:bookmarkEnd w:id="6"/>
    <w:p>
      <w:pPr>
        <w:ind w:left="1260" w:right="40" w:hanging="720"/>
        <w:spacing w:after="0" w:line="258"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a variety of stringent and evolving laws, regulations, rules, contractual obligations, policies and other obligations related to data privacy and data security, and our actual or perceived failure to comply with them could lead to regulatory investigations or actions; litigation; fines and penalties; disruptions of our business operations; reputational harm; loss of revenue or profits and other adverse business consequences.</w:t>
      </w:r>
    </w:p>
    <w:p>
      <w:pPr>
        <w:sectPr>
          <w:pgSz w:w="12240" w:h="15840" w:orient="portrait"/>
          <w:cols w:equalWidth="0" w:num="1">
            <w:col w:w="9360"/>
          </w:cols>
          <w:pgMar w:left="1440" w:top="1378"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are a biotechnology company focused on identifying and advancing innovative therapeutic opportunities.</w:t>
      </w:r>
    </w:p>
    <w:p>
      <w:pPr>
        <w:spacing w:after="0" w:line="210"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In January 2026 we announced our wholly owned subsidiary, Axion Bio, Inc., or Axion Bio, was discontinuing development of our former lead product candidate, AXN-2510, a bispecific antibody targeting both programmed death-ligand 1 and the family of vascular endothelial growth factors in solid tumor cancers. Axion Bio in-licensed AXN-2510 from ImmuneOnco Biopharmaceuticals (Shanghai) Inc., or ImmuneOnco, in August 2024. The license and collaboration agreement with ImmuneOnco was terminated in January 2026. Prior to developing AXN-2510, our development efforts were focused on pursuing the development of cell therapies, including our proprietary folate receptor alpha co-stimulatory antigen receptor (CoStAR) tumor infiltrating lymphocyte (TIL) cell therapy for the treatment of cancer.</w:t>
      </w:r>
    </w:p>
    <w:p>
      <w:pPr>
        <w:spacing w:after="0" w:line="173"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20"/>
          <w:szCs w:val="20"/>
          <w:color w:val="auto"/>
        </w:rPr>
        <w:t>We are actively seeking to in-license or acquire and develop additional novel therapeutic candidates in diseases with significant unmet medical need.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strategy is to pursue potential acquisitions or in-licensing of therapeutic candidates.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the rapid evolution of technologies and understanding of disease etiology, intense competition and a strong emphasis on intellectual property. We believe that our approach, strategy and experience provide us with certain competitive advantages. However, we expect substantial competition from many sources, including major pharmaceutical, specialty pharmaceutical, and existing or emerging biotechnology companies. Many of our potential competitors, either alone or through collaborations, have significantly greater financial resources and expertise in identifying acquisition and in-licensing opportunities, research and development, manufacturing, preclinical testing, conducting clinical trials, obtaining regulatory approvals and marketing approved products than we do. These entities also compete with us in recruiting and retaining qualified personnel and, assuming we in-license or acquire one or more new therapeutic product candidates, in establishing clinical trial sites and patient enrollment in clinical trials, as well as in acquiring complementary or necessary technologies. As a result, potential competitors may discover, develop, license or commercialize products before or more successfully than we do.</w:t>
      </w:r>
    </w:p>
    <w:p>
      <w:pPr>
        <w:spacing w:after="0" w:line="171"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We could see a reduction or elimination in our potential commercial opportunity if our competitors discover, develop and commercialize drugs that are safer, more effective, have fewer or less severe side effects, are more convenient to administer, are less expensive or with a more favorable label than any product candidate we may develop. Our competitors also may obtain U.S. Food and Drug Administration, or FDA, or other regulatory approval for their drugs more rapidly than we may obtain approval for any product we may in-license or otherwise acquire and subsequently develop, which could result in competitors establishing a strong market position before we are able to enter the market. The key competitive factors affecting the success of any product candidates we may license or otherwise acquire, if approved, are likely to be their efficacy, safety, convenience, price and the availability of reimbursement from government and other third-party payors.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1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Our commercial success will likely depend in part on our ability to obtain and maintain patent and other proprietary protection for commercially important technology, inventions, improvements and know-how; defend and enforce patents and other intellectual property; preserve the confidentiality of trade secrets; and operate without infringing or otherwise violating the valid enforceable patents and proprietary rights of third parties. Our ability to stop third parties from making, using, selling, offering to sell or importing products we may license or otherwise</w:t>
      </w:r>
    </w:p>
    <w:p>
      <w:pPr>
        <w:sectPr>
          <w:pgSz w:w="12240" w:h="15840" w:orient="portrait"/>
          <w:cols w:equalWidth="0" w:num="1">
            <w:col w:w="9360"/>
          </w:cols>
          <w:pgMar w:left="1440" w:top="1371" w:right="1440" w:bottom="861" w:gutter="0" w:footer="0" w:header="0"/>
        </w:sectPr>
      </w:pPr>
    </w:p>
    <w:bookmarkStart w:id="8" w:name="page9"/>
    <w:bookmarkEnd w:id="8"/>
    <w:p>
      <w:pPr>
        <w:ind w:right="80"/>
        <w:spacing w:after="0" w:line="255" w:lineRule="auto"/>
        <w:rPr>
          <w:sz w:val="20"/>
          <w:szCs w:val="20"/>
          <w:color w:val="auto"/>
        </w:rPr>
      </w:pPr>
      <w:r>
        <w:rPr>
          <w:rFonts w:ascii="Times New Roman" w:cs="Times New Roman" w:eastAsia="Times New Roman" w:hAnsi="Times New Roman"/>
          <w:sz w:val="20"/>
          <w:szCs w:val="20"/>
          <w:color w:val="auto"/>
        </w:rPr>
        <w:t>acquire and subsequently develop may depend on the extent to which we have rights under valid and enforceable patents or trade secrets that cover these activities. With respect to any licensed or company-owned intellectual property we may acquire, we cannot be sure that patents will be granted with respect to any patent applications filed by us, nor can we be sure that any patents that may be granted to us in the future will be commercially useful in protecting our commercial products and methods of manufacturing the same. We may rely, in some circumstances, on trade secrets to protect any technology we may license or otherwise acquire. However, trade secrets can be difficult to protect. See “Risk Factors – Risks Related to Our Intellectual Property.”</w:t>
      </w:r>
    </w:p>
    <w:p>
      <w:pPr>
        <w:spacing w:after="0" w:line="170"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20"/>
          <w:szCs w:val="20"/>
          <w:color w:val="auto"/>
        </w:rPr>
        <w:t>We intend to seek to protect technology, inventions, and other intellectual property that is commercially important to the development of our business by a variety of means, such as seeking, maintaining, and defending patent rights, whether developed internally or licensed from third parties. We also intend to seek patent protection or rely upon trade secret rights to protect other technologies that may be used to manufacture and develop novel product candidates. Additional regulatory protection may also be afforded through data exclusivity, market exclusivity and patent term extensions where available.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17"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therapeutic products. If we are successful in licensing-in or otherwise acquiring new therapeutic product candidates, we, along with third-party contractors, will be required to navigate the various preclinical, clinical and commercial approval requirements of the governing regulatory agencies of the countries in which we wish to conduct studies or seek approval or licensure of such product candidates. The process of obtaining regulatory approvals and the subsequent compliance with applicable federal, state, local and foreign statutes and regulations require the expenditure of substantial time and financial resources.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U.S. Drugs and Biologics Regulation</w:t>
      </w:r>
    </w:p>
    <w:p>
      <w:pPr>
        <w:spacing w:after="0" w:line="214" w:lineRule="exact"/>
        <w:rPr>
          <w:sz w:val="20"/>
          <w:szCs w:val="20"/>
          <w:color w:val="auto"/>
        </w:rPr>
      </w:pPr>
    </w:p>
    <w:p>
      <w:pPr>
        <w:jc w:val="both"/>
        <w:ind w:right="80" w:firstLine="450"/>
        <w:spacing w:after="0" w:line="260" w:lineRule="auto"/>
        <w:rPr>
          <w:sz w:val="20"/>
          <w:szCs w:val="20"/>
          <w:color w:val="auto"/>
        </w:rPr>
      </w:pPr>
      <w:r>
        <w:rPr>
          <w:rFonts w:ascii="Times New Roman" w:cs="Times New Roman" w:eastAsia="Times New Roman" w:hAnsi="Times New Roman"/>
          <w:sz w:val="20"/>
          <w:szCs w:val="20"/>
          <w:color w:val="auto"/>
        </w:rPr>
        <w:t>In the United States, drug and biological products are subject to regulation under the Federal Food, Drug, and Cosmetic Act, the Public Health Service Act, and other federal, state, local and foreign statutes and regulations. The process required by the FDA before drugs or biologics may be marketed in the United States generally involves the following:</w:t>
      </w:r>
    </w:p>
    <w:p>
      <w:pPr>
        <w:spacing w:after="0" w:line="163" w:lineRule="exact"/>
        <w:rPr>
          <w:sz w:val="20"/>
          <w:szCs w:val="20"/>
          <w:color w:val="auto"/>
        </w:rPr>
      </w:pPr>
    </w:p>
    <w:p>
      <w:pPr>
        <w:ind w:left="1260" w:right="540" w:hanging="720"/>
        <w:spacing w:after="0" w:line="281"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and animal studies performed in accordance with the FDA’s Good Laboratory Practice requirements, or GLP;</w:t>
      </w:r>
    </w:p>
    <w:p>
      <w:pPr>
        <w:spacing w:after="0" w:line="61" w:lineRule="exact"/>
        <w:rPr>
          <w:rFonts w:ascii="Times New Roman" w:cs="Times New Roman" w:eastAsia="Times New Roman" w:hAnsi="Times New Roman"/>
          <w:sz w:val="20"/>
          <w:szCs w:val="20"/>
          <w:color w:val="auto"/>
        </w:rPr>
      </w:pPr>
    </w:p>
    <w:p>
      <w:pPr>
        <w:ind w:left="1260" w:right="360" w:hanging="720"/>
        <w:spacing w:after="0" w:line="281"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Investigational New Drug application, or IND, which must become effective before clinical trials may begin;</w:t>
      </w:r>
    </w:p>
    <w:p>
      <w:pPr>
        <w:spacing w:after="0" w:line="61" w:lineRule="exact"/>
        <w:rPr>
          <w:rFonts w:ascii="Times New Roman" w:cs="Times New Roman" w:eastAsia="Times New Roman" w:hAnsi="Times New Roman"/>
          <w:sz w:val="20"/>
          <w:szCs w:val="20"/>
          <w:color w:val="auto"/>
        </w:rPr>
      </w:pPr>
    </w:p>
    <w:p>
      <w:pPr>
        <w:ind w:left="1260" w:right="60" w:hanging="720"/>
        <w:spacing w:after="0" w:line="281"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institutional review board, or IRB, or ethics committee at each clinical site before the trial is commenced;</w:t>
      </w:r>
    </w:p>
    <w:p>
      <w:pPr>
        <w:spacing w:after="0" w:line="61" w:lineRule="exact"/>
        <w:rPr>
          <w:rFonts w:ascii="Times New Roman" w:cs="Times New Roman" w:eastAsia="Times New Roman" w:hAnsi="Times New Roman"/>
          <w:sz w:val="20"/>
          <w:szCs w:val="20"/>
          <w:color w:val="auto"/>
        </w:rPr>
      </w:pPr>
    </w:p>
    <w:p>
      <w:pPr>
        <w:ind w:left="1260" w:right="160" w:hanging="720"/>
        <w:spacing w:after="0" w:line="278" w:lineRule="auto"/>
        <w:tabs>
          <w:tab w:leader="none" w:pos="12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 product candidate for its intended purpose;</w:t>
      </w:r>
    </w:p>
    <w:p>
      <w:pPr>
        <w:spacing w:after="0" w:line="67" w:lineRule="exact"/>
        <w:rPr>
          <w:rFonts w:ascii="Times New Roman" w:cs="Times New Roman" w:eastAsia="Times New Roman" w:hAnsi="Times New Roman"/>
          <w:sz w:val="19"/>
          <w:szCs w:val="19"/>
          <w:color w:val="auto"/>
        </w:rPr>
      </w:pPr>
    </w:p>
    <w:p>
      <w:pPr>
        <w:ind w:left="1260" w:right="80" w:hanging="720"/>
        <w:spacing w:after="0" w:line="281"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and submission to the FDA of a New Drug Application, or NDA, or Biologic License Application, or a BLA, after completion of all pivotal clinical trials;</w:t>
      </w:r>
    </w:p>
    <w:p>
      <w:pPr>
        <w:spacing w:after="0" w:line="61" w:lineRule="exact"/>
        <w:rPr>
          <w:rFonts w:ascii="Times New Roman" w:cs="Times New Roman" w:eastAsia="Times New Roman" w:hAnsi="Times New Roman"/>
          <w:sz w:val="20"/>
          <w:szCs w:val="20"/>
          <w:color w:val="auto"/>
        </w:rPr>
      </w:pPr>
    </w:p>
    <w:p>
      <w:pPr>
        <w:ind w:left="1260" w:right="220" w:hanging="720"/>
        <w:spacing w:after="0" w:line="281"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an NDA or BLA to file the application for review;</w:t>
      </w:r>
    </w:p>
    <w:p>
      <w:pPr>
        <w:spacing w:after="0" w:line="61" w:lineRule="exact"/>
        <w:rPr>
          <w:rFonts w:ascii="Times New Roman" w:cs="Times New Roman" w:eastAsia="Times New Roman" w:hAnsi="Times New Roman"/>
          <w:sz w:val="20"/>
          <w:szCs w:val="20"/>
          <w:color w:val="auto"/>
        </w:rPr>
      </w:pPr>
    </w:p>
    <w:p>
      <w:pPr>
        <w:ind w:left="1260" w:hanging="720"/>
        <w:spacing w:after="0" w:line="286" w:lineRule="auto"/>
        <w:tabs>
          <w:tab w:leader="none" w:pos="12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completion of an FDA pre-approval inspection of the manufacturing facility or facilities at which the proposed product is produced to assess compliance with current Good Manufacturing Practice, or cGMP, and to assure that the facilities, methods and controls are adequate to preserve the</w:t>
      </w:r>
    </w:p>
    <w:p>
      <w:pPr>
        <w:sectPr>
          <w:pgSz w:w="12240" w:h="15840" w:orient="portrait"/>
          <w:cols w:equalWidth="0" w:num="1">
            <w:col w:w="9360"/>
          </w:cols>
          <w:pgMar w:left="1440" w:top="1378" w:right="1440" w:bottom="876" w:gutter="0" w:footer="0" w:header="0"/>
        </w:sectPr>
      </w:pPr>
    </w:p>
    <w:bookmarkStart w:id="9" w:name="page10"/>
    <w:bookmarkEnd w:id="9"/>
    <w:p>
      <w:pPr>
        <w:ind w:left="1260" w:right="260"/>
        <w:spacing w:after="0" w:line="281" w:lineRule="auto"/>
        <w:rPr>
          <w:sz w:val="20"/>
          <w:szCs w:val="20"/>
          <w:color w:val="auto"/>
        </w:rPr>
      </w:pPr>
      <w:r>
        <w:rPr>
          <w:rFonts w:ascii="Times New Roman" w:cs="Times New Roman" w:eastAsia="Times New Roman" w:hAnsi="Times New Roman"/>
          <w:sz w:val="20"/>
          <w:szCs w:val="20"/>
          <w:color w:val="auto"/>
        </w:rPr>
        <w:t>product’s continued safety, purity and potency and of selected clinical investigation sites to assess compliance with Good Clinical Practices, or GCPs;</w:t>
      </w:r>
    </w:p>
    <w:p>
      <w:pPr>
        <w:spacing w:after="0" w:line="61" w:lineRule="exact"/>
        <w:rPr>
          <w:sz w:val="20"/>
          <w:szCs w:val="20"/>
          <w:color w:val="auto"/>
        </w:rPr>
      </w:pPr>
    </w:p>
    <w:p>
      <w:pPr>
        <w:ind w:left="1260" w:hanging="720"/>
        <w:spacing w:after="0"/>
        <w:tabs>
          <w:tab w:leader="none" w:pos="12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30" w:lineRule="exact"/>
        <w:rPr>
          <w:rFonts w:ascii="Times New Roman" w:cs="Times New Roman" w:eastAsia="Times New Roman" w:hAnsi="Times New Roman"/>
          <w:sz w:val="20"/>
          <w:szCs w:val="20"/>
          <w:color w:val="auto"/>
        </w:rPr>
      </w:pPr>
    </w:p>
    <w:p>
      <w:pPr>
        <w:ind w:left="1260" w:right="260" w:hanging="720"/>
        <w:spacing w:after="0" w:line="281" w:lineRule="auto"/>
        <w:tabs>
          <w:tab w:leader="none" w:pos="12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FDA audit of the nonclinical and clinical study sites that generated the data in support of the NDA or BLA; and</w:t>
      </w:r>
    </w:p>
    <w:p>
      <w:pPr>
        <w:spacing w:after="0" w:line="61" w:lineRule="exact"/>
        <w:rPr>
          <w:rFonts w:ascii="Times New Roman" w:cs="Times New Roman" w:eastAsia="Times New Roman" w:hAnsi="Times New Roman"/>
          <w:sz w:val="20"/>
          <w:szCs w:val="20"/>
          <w:color w:val="auto"/>
        </w:rPr>
      </w:pPr>
    </w:p>
    <w:p>
      <w:pPr>
        <w:ind w:left="1260" w:right="280" w:hanging="720"/>
        <w:spacing w:after="0" w:line="281" w:lineRule="auto"/>
        <w:tabs>
          <w:tab w:leader="none" w:pos="12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or BLA to permit commercial marketing of the product for particular indications for use in the United States.</w:t>
      </w:r>
    </w:p>
    <w:p>
      <w:pPr>
        <w:spacing w:after="0" w:line="141" w:lineRule="exact"/>
        <w:rPr>
          <w:sz w:val="20"/>
          <w:szCs w:val="20"/>
          <w:color w:val="auto"/>
        </w:rPr>
      </w:pPr>
    </w:p>
    <w:p>
      <w:pPr>
        <w:ind w:right="80" w:firstLine="450"/>
        <w:spacing w:after="0" w:line="278" w:lineRule="auto"/>
        <w:rPr>
          <w:sz w:val="20"/>
          <w:szCs w:val="20"/>
          <w:color w:val="auto"/>
        </w:rPr>
      </w:pPr>
      <w:r>
        <w:rPr>
          <w:rFonts w:ascii="Times New Roman" w:cs="Times New Roman" w:eastAsia="Times New Roman" w:hAnsi="Times New Roman"/>
          <w:sz w:val="19"/>
          <w:szCs w:val="19"/>
          <w:color w:val="auto"/>
        </w:rPr>
        <w:t>Before testing any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48"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3"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76" w:lineRule="exact"/>
        <w:rPr>
          <w:sz w:val="20"/>
          <w:szCs w:val="20"/>
          <w:color w:val="auto"/>
        </w:rPr>
      </w:pPr>
    </w:p>
    <w:p>
      <w:pPr>
        <w:ind w:right="20" w:firstLine="450"/>
        <w:spacing w:after="0" w:line="281" w:lineRule="auto"/>
        <w:rPr>
          <w:sz w:val="20"/>
          <w:szCs w:val="20"/>
          <w:color w:val="auto"/>
        </w:rPr>
      </w:pPr>
      <w:r>
        <w:rPr>
          <w:rFonts w:ascii="Times New Roman" w:cs="Times New Roman" w:eastAsia="Times New Roman" w:hAnsi="Times New Roman"/>
          <w:sz w:val="20"/>
          <w:szCs w:val="20"/>
          <w:color w:val="auto"/>
        </w:rPr>
        <w:t>For purposes of NDA or BLA approval, human clinical trials are typically conducted in three sequential phases that may overlap or be combined:</w:t>
      </w:r>
    </w:p>
    <w:p>
      <w:pPr>
        <w:spacing w:after="0" w:line="141" w:lineRule="exact"/>
        <w:rPr>
          <w:sz w:val="20"/>
          <w:szCs w:val="20"/>
          <w:color w:val="auto"/>
        </w:rPr>
      </w:pPr>
    </w:p>
    <w:p>
      <w:pPr>
        <w:jc w:val="both"/>
        <w:ind w:left="1260" w:hanging="720"/>
        <w:spacing w:after="0" w:line="260"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3" w:lineRule="exact"/>
        <w:rPr>
          <w:rFonts w:ascii="Times New Roman" w:cs="Times New Roman" w:eastAsia="Times New Roman" w:hAnsi="Times New Roman"/>
          <w:sz w:val="20"/>
          <w:szCs w:val="20"/>
          <w:color w:val="auto"/>
        </w:rPr>
      </w:pPr>
    </w:p>
    <w:p>
      <w:pPr>
        <w:jc w:val="both"/>
        <w:ind w:left="1260" w:hanging="720"/>
        <w:spacing w:after="0" w:line="260" w:lineRule="auto"/>
        <w:tabs>
          <w:tab w:leader="none" w:pos="12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ectPr>
          <w:pgSz w:w="12240" w:h="15840" w:orient="portrait"/>
          <w:cols w:equalWidth="0" w:num="1">
            <w:col w:w="9360"/>
          </w:cols>
          <w:pgMar w:left="1440" w:top="1378" w:right="1440" w:bottom="861" w:gutter="0" w:footer="0" w:header="0"/>
        </w:sectPr>
      </w:pPr>
    </w:p>
    <w:bookmarkStart w:id="10" w:name="page11"/>
    <w:bookmarkEnd w:id="10"/>
    <w:p>
      <w:pPr>
        <w:ind w:left="1260" w:hanging="720"/>
        <w:spacing w:after="0" w:line="258" w:lineRule="auto"/>
        <w:tabs>
          <w:tab w:leader="none" w:pos="1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4" w:lineRule="exact"/>
        <w:rPr>
          <w:sz w:val="20"/>
          <w:szCs w:val="20"/>
          <w:color w:val="auto"/>
        </w:rPr>
      </w:pPr>
    </w:p>
    <w:p>
      <w:pPr>
        <w:ind w:right="220" w:firstLine="450"/>
        <w:spacing w:after="0" w:line="260" w:lineRule="auto"/>
        <w:rPr>
          <w:sz w:val="20"/>
          <w:szCs w:val="20"/>
          <w:color w:val="auto"/>
        </w:rPr>
      </w:pPr>
      <w:r>
        <w:rPr>
          <w:rFonts w:ascii="Times New Roman" w:cs="Times New Roman" w:eastAsia="Times New Roman" w:hAnsi="Times New Roman"/>
          <w:sz w:val="20"/>
          <w:szCs w:val="20"/>
          <w:color w:val="auto"/>
        </w:rPr>
        <w:t>In some cases, the FDA may require, or companies may voluntarily pursue, additional clinical trials after a product is approved to gain more information about the product in the intended therapeutic indication, particularly for long-term safety follow-up. These so-called Phase 4 studies may also be made a condition to approval of the NDA or BLA.</w:t>
      </w:r>
    </w:p>
    <w:p>
      <w:pPr>
        <w:spacing w:after="0" w:line="163"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NDA or BLA Submission and Review by the FDA</w:t>
      </w:r>
    </w:p>
    <w:p>
      <w:pPr>
        <w:spacing w:after="0" w:line="214"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The NDA or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an NDA or BLA requires payment of a substantial application user fee to the FDA, unless a waiver or exemption applies.</w:t>
      </w:r>
    </w:p>
    <w:p>
      <w:pPr>
        <w:spacing w:after="0" w:line="169" w:lineRule="exact"/>
        <w:rPr>
          <w:sz w:val="20"/>
          <w:szCs w:val="20"/>
          <w:color w:val="auto"/>
        </w:rPr>
      </w:pPr>
    </w:p>
    <w:p>
      <w:pPr>
        <w:ind w:right="160" w:firstLine="450"/>
        <w:spacing w:after="0" w:line="253" w:lineRule="auto"/>
        <w:rPr>
          <w:sz w:val="20"/>
          <w:szCs w:val="20"/>
          <w:color w:val="auto"/>
        </w:rPr>
      </w:pPr>
      <w:r>
        <w:rPr>
          <w:rFonts w:ascii="Times New Roman" w:cs="Times New Roman" w:eastAsia="Times New Roman" w:hAnsi="Times New Roman"/>
          <w:sz w:val="20"/>
          <w:szCs w:val="20"/>
          <w:color w:val="auto"/>
        </w:rPr>
        <w:t>Within 60 days following submission of the application, the FDA reviews an NDA or BLA submitted to determine if it is substantially complete before the FDA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an NDA or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the recommendations of an advisory committee, but it considers such recommendations carefully when making decisions.</w:t>
      </w:r>
    </w:p>
    <w:p>
      <w:pPr>
        <w:spacing w:after="0" w:line="168"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w:t>
      </w:r>
    </w:p>
    <w:p>
      <w:pPr>
        <w:spacing w:after="0" w:line="163" w:lineRule="exact"/>
        <w:rPr>
          <w:sz w:val="20"/>
          <w:szCs w:val="20"/>
          <w:color w:val="auto"/>
        </w:rPr>
      </w:pPr>
    </w:p>
    <w:p>
      <w:pPr>
        <w:ind w:right="20" w:firstLine="450"/>
        <w:spacing w:after="0" w:line="275" w:lineRule="auto"/>
        <w:rPr>
          <w:sz w:val="20"/>
          <w:szCs w:val="20"/>
          <w:color w:val="auto"/>
        </w:rPr>
      </w:pPr>
      <w:r>
        <w:rPr>
          <w:rFonts w:ascii="Times New Roman" w:cs="Times New Roman" w:eastAsia="Times New Roman" w:hAnsi="Times New Roman"/>
          <w:sz w:val="19"/>
          <w:szCs w:val="19"/>
          <w:color w:val="auto"/>
        </w:rPr>
        <w:t>After the FDA evaluates an NDA or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NDA or BLA, except that where the FDA determines that the data supporting the application are</w:t>
      </w:r>
    </w:p>
    <w:p>
      <w:pPr>
        <w:sectPr>
          <w:pgSz w:w="12240" w:h="15840" w:orient="portrait"/>
          <w:cols w:equalWidth="0" w:num="1">
            <w:col w:w="9360"/>
          </w:cols>
          <w:pgMar w:left="1440" w:top="1378" w:right="1440" w:bottom="925" w:gutter="0" w:footer="0" w:header="0"/>
        </w:sectPr>
      </w:pPr>
    </w:p>
    <w:bookmarkStart w:id="11" w:name="page12"/>
    <w:bookmarkEnd w:id="11"/>
    <w:p>
      <w:pPr>
        <w:ind w:right="220"/>
        <w:spacing w:after="0" w:line="256" w:lineRule="auto"/>
        <w:rPr>
          <w:sz w:val="20"/>
          <w:szCs w:val="20"/>
          <w:color w:val="auto"/>
        </w:rPr>
      </w:pPr>
      <w:r>
        <w:rPr>
          <w:rFonts w:ascii="Times New Roman" w:cs="Times New Roman" w:eastAsia="Times New Roman" w:hAnsi="Times New Roman"/>
          <w:sz w:val="20"/>
          <w:szCs w:val="20"/>
          <w:color w:val="auto"/>
        </w:rPr>
        <w:t>inadequate to support approval, the FDA may issue the CRL without first conducting required inspections, testing submitted product lots,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spacing w:after="0" w:line="168"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or REMS, to ensure the benefits of the product outweigh its risks, or otherwise limit the scope of any approval.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214"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that the FDA designate the product candidate as a Fast Track product at any time during the clinical development of the product. The sponsor of a Fast Track product has opportunities for more frequent interactions with the applicable FDA review team during product development and, once an NDA or BLA is submitted, the product candidate may be eligible for priority review.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w:t>
      </w:r>
    </w:p>
    <w:p>
      <w:pPr>
        <w:spacing w:after="0" w:line="178"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73"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20"/>
          <w:szCs w:val="20"/>
          <w:color w:val="auto"/>
        </w:rPr>
        <w:t>Any marketing application for a drug or biologic submitted to the FDA for approval, including a product candidate with a Fast Track designation and/or breakthrough therapy designation, may be eligible for other types of FDA programs intended to expedite development and review, such as priority review and accelerated approval. A product candidate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For</w:t>
      </w:r>
    </w:p>
    <w:p>
      <w:pPr>
        <w:sectPr>
          <w:pgSz w:w="12240" w:h="15840" w:orient="portrait"/>
          <w:cols w:equalWidth="0" w:num="1">
            <w:col w:w="9360"/>
          </w:cols>
          <w:pgMar w:left="1440" w:top="1378" w:right="1440" w:bottom="867" w:gutter="0" w:footer="0" w:header="0"/>
        </w:sectPr>
      </w:pPr>
    </w:p>
    <w:bookmarkStart w:id="12" w:name="page13"/>
    <w:bookmarkEnd w:id="12"/>
    <w:p>
      <w:pPr>
        <w:ind w:right="620"/>
        <w:spacing w:after="0" w:line="309" w:lineRule="auto"/>
        <w:rPr>
          <w:sz w:val="20"/>
          <w:szCs w:val="20"/>
          <w:color w:val="auto"/>
        </w:rPr>
      </w:pPr>
      <w:r>
        <w:rPr>
          <w:rFonts w:ascii="Times New Roman" w:cs="Times New Roman" w:eastAsia="Times New Roman" w:hAnsi="Times New Roman"/>
          <w:sz w:val="19"/>
          <w:szCs w:val="19"/>
          <w:color w:val="auto"/>
        </w:rPr>
        <w:t>original NDAs or BLAs, priority review designation means the FDA’s goal is to take action on the marketing application within six months of the 60-day filing date (as compared to ten months under standard review).</w:t>
      </w:r>
    </w:p>
    <w:p>
      <w:pPr>
        <w:spacing w:after="0" w:line="117"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71" w:lineRule="exact"/>
        <w:rPr>
          <w:sz w:val="20"/>
          <w:szCs w:val="20"/>
          <w:color w:val="auto"/>
        </w:rPr>
      </w:pPr>
    </w:p>
    <w:p>
      <w:pPr>
        <w:ind w:right="280" w:firstLine="450"/>
        <w:spacing w:after="0" w:line="278" w:lineRule="auto"/>
        <w:rPr>
          <w:sz w:val="20"/>
          <w:szCs w:val="20"/>
          <w:color w:val="auto"/>
        </w:rPr>
      </w:pPr>
      <w:r>
        <w:rPr>
          <w:rFonts w:ascii="Times New Roman" w:cs="Times New Roman" w:eastAsia="Times New Roman" w:hAnsi="Times New Roman"/>
          <w:sz w:val="19"/>
          <w:szCs w:val="19"/>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214" w:lineRule="exact"/>
        <w:rPr>
          <w:sz w:val="20"/>
          <w:szCs w:val="20"/>
          <w:color w:val="auto"/>
        </w:rPr>
      </w:pPr>
    </w:p>
    <w:p>
      <w:pPr>
        <w:ind w:right="60" w:firstLine="450"/>
        <w:spacing w:after="0" w:line="270" w:lineRule="auto"/>
        <w:rPr>
          <w:sz w:val="20"/>
          <w:szCs w:val="20"/>
          <w:color w:val="auto"/>
        </w:rPr>
      </w:pPr>
      <w:r>
        <w:rPr>
          <w:rFonts w:ascii="Times New Roman" w:cs="Times New Roman" w:eastAsia="Times New Roman" w:hAnsi="Times New Roman"/>
          <w:sz w:val="19"/>
          <w:szCs w:val="19"/>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w:t>
      </w:r>
    </w:p>
    <w:p>
      <w:pPr>
        <w:spacing w:after="0" w:line="154"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a particular drug or biologic for the disease for which it has such designation, the product is entitled to orphan product exclusivity, which means that the FDA may not approve any other applications, including a full NDA or BLA, to market the same drug or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68"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ectPr>
          <w:pgSz w:w="12240" w:h="15840" w:orient="portrait"/>
          <w:cols w:equalWidth="0" w:num="1">
            <w:col w:w="9360"/>
          </w:cols>
          <w:pgMar w:left="1440" w:top="1378"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14"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20"/>
          <w:szCs w:val="20"/>
          <w:color w:val="auto"/>
        </w:rPr>
        <w:t>Drugs and 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and biologic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Changes to the manufacturing process or facility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79"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w:t>
      </w:r>
    </w:p>
    <w:p>
      <w:pPr>
        <w:spacing w:after="0" w:line="168" w:lineRule="exact"/>
        <w:rPr>
          <w:sz w:val="20"/>
          <w:szCs w:val="20"/>
          <w:color w:val="auto"/>
        </w:rPr>
      </w:pPr>
    </w:p>
    <w:p>
      <w:pPr>
        <w:ind w:left="1260" w:right="260" w:hanging="720"/>
        <w:spacing w:after="0" w:line="281" w:lineRule="auto"/>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untitled letters;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holds on clinical studies;</w:t>
      </w:r>
    </w:p>
    <w:p>
      <w:pPr>
        <w:spacing w:after="0" w:line="130" w:lineRule="exact"/>
        <w:rPr>
          <w:rFonts w:ascii="Times New Roman" w:cs="Times New Roman" w:eastAsia="Times New Roman" w:hAnsi="Times New Roman"/>
          <w:sz w:val="20"/>
          <w:szCs w:val="20"/>
          <w:color w:val="auto"/>
        </w:rPr>
      </w:pPr>
    </w:p>
    <w:p>
      <w:pPr>
        <w:ind w:left="1260" w:right="440" w:hanging="720"/>
        <w:spacing w:after="0" w:line="281" w:lineRule="auto"/>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30" w:lineRule="exact"/>
        <w:rPr>
          <w:rFonts w:ascii="Times New Roman" w:cs="Times New Roman" w:eastAsia="Times New Roman" w:hAnsi="Times New Roman"/>
          <w:sz w:val="20"/>
          <w:szCs w:val="20"/>
          <w:color w:val="auto"/>
        </w:rPr>
      </w:pPr>
    </w:p>
    <w:p>
      <w:pPr>
        <w:ind w:left="1260" w:right="420" w:hanging="720"/>
        <w:spacing w:after="0" w:line="281" w:lineRule="auto"/>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61" w:lineRule="exact"/>
        <w:rPr>
          <w:rFonts w:ascii="Times New Roman" w:cs="Times New Roman" w:eastAsia="Times New Roman" w:hAnsi="Times New Roman"/>
          <w:sz w:val="20"/>
          <w:szCs w:val="20"/>
          <w:color w:val="auto"/>
        </w:rPr>
      </w:pPr>
    </w:p>
    <w:p>
      <w:pPr>
        <w:ind w:left="1260" w:right="780" w:hanging="720"/>
        <w:spacing w:after="0" w:line="281" w:lineRule="auto"/>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61" w:lineRule="exact"/>
        <w:rPr>
          <w:rFonts w:ascii="Times New Roman" w:cs="Times New Roman" w:eastAsia="Times New Roman" w:hAnsi="Times New Roman"/>
          <w:sz w:val="20"/>
          <w:szCs w:val="20"/>
          <w:color w:val="auto"/>
        </w:rPr>
      </w:pPr>
    </w:p>
    <w:p>
      <w:pPr>
        <w:jc w:val="both"/>
        <w:ind w:left="1260" w:right="1180" w:hanging="720"/>
        <w:spacing w:after="0" w:line="309" w:lineRule="auto"/>
        <w:tabs>
          <w:tab w:leader="none" w:pos="12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safety alerts, Dear Healthcare Provider letters, press releases and other communications containing warnings or other safety information about the product; or</w:t>
      </w:r>
    </w:p>
    <w:p>
      <w:pPr>
        <w:spacing w:after="0" w:line="37" w:lineRule="exact"/>
        <w:rPr>
          <w:rFonts w:ascii="Times New Roman" w:cs="Times New Roman" w:eastAsia="Times New Roman" w:hAnsi="Times New Roman"/>
          <w:sz w:val="19"/>
          <w:szCs w:val="19"/>
          <w:color w:val="auto"/>
        </w:rPr>
      </w:pPr>
    </w:p>
    <w:p>
      <w:pPr>
        <w:ind w:left="1260" w:hanging="720"/>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1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drugs and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Physicians may prescribe legally available products for uses that are not described in the product’s labeling and that differ from those tested and approved by the FDA. Such off-label uses are common across medical specialties.</w:t>
      </w:r>
    </w:p>
    <w:p>
      <w:pPr>
        <w:sectPr>
          <w:pgSz w:w="12240" w:h="15840" w:orient="portrait"/>
          <w:cols w:equalWidth="0" w:num="1">
            <w:col w:w="9360"/>
          </w:cols>
          <w:pgMar w:left="1440" w:top="1374" w:right="1440" w:bottom="107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20"/>
          <w:szCs w:val="20"/>
          <w:color w:val="auto"/>
        </w:rPr>
        <w:t>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 Outside of the United States</w:t>
      </w:r>
    </w:p>
    <w:p>
      <w:pPr>
        <w:spacing w:after="0" w:line="214"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In addition to regulations in the United States, we will be subject to a variety of regulations in other jurisdictions governing, among other things, clinical studies and any commercial sales and distribution of any products we may develop.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73" w:lineRule="exact"/>
        <w:rPr>
          <w:sz w:val="20"/>
          <w:szCs w:val="20"/>
          <w:color w:val="auto"/>
        </w:rPr>
      </w:pPr>
    </w:p>
    <w:p>
      <w:pPr>
        <w:jc w:val="both"/>
        <w:ind w:right="560" w:firstLine="450"/>
        <w:spacing w:after="0" w:line="266" w:lineRule="auto"/>
        <w:rPr>
          <w:sz w:val="20"/>
          <w:szCs w:val="20"/>
          <w:color w:val="auto"/>
        </w:rPr>
      </w:pPr>
      <w:r>
        <w:rPr>
          <w:rFonts w:ascii="Times New Roman" w:cs="Times New Roman" w:eastAsia="Times New Roman" w:hAnsi="Times New Roman"/>
          <w:sz w:val="20"/>
          <w:szCs w:val="20"/>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214" w:lineRule="exact"/>
        <w:rPr>
          <w:sz w:val="20"/>
          <w:szCs w:val="20"/>
          <w:color w:val="auto"/>
        </w:rPr>
      </w:pPr>
    </w:p>
    <w:p>
      <w:pPr>
        <w:ind w:right="180" w:firstLine="450"/>
        <w:spacing w:after="0" w:line="272" w:lineRule="auto"/>
        <w:rPr>
          <w:sz w:val="20"/>
          <w:szCs w:val="20"/>
          <w:color w:val="auto"/>
        </w:rPr>
      </w:pPr>
      <w:r>
        <w:rPr>
          <w:rFonts w:ascii="Times New Roman" w:cs="Times New Roman" w:eastAsia="Times New Roman" w:hAnsi="Times New Roman"/>
          <w:sz w:val="19"/>
          <w:szCs w:val="19"/>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 The laws that will affect our operations include, but are not limited to:</w:t>
      </w:r>
    </w:p>
    <w:p>
      <w:pPr>
        <w:spacing w:after="0" w:line="154" w:lineRule="exact"/>
        <w:rPr>
          <w:sz w:val="20"/>
          <w:szCs w:val="20"/>
          <w:color w:val="auto"/>
        </w:rPr>
      </w:pPr>
    </w:p>
    <w:p>
      <w:pPr>
        <w:ind w:left="1260" w:right="20" w:hanging="720"/>
        <w:spacing w:after="0" w:line="258" w:lineRule="auto"/>
        <w:tabs>
          <w:tab w:leader="none" w:pos="1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83" w:lineRule="exact"/>
        <w:rPr>
          <w:rFonts w:ascii="Times New Roman" w:cs="Times New Roman" w:eastAsia="Times New Roman" w:hAnsi="Times New Roman"/>
          <w:sz w:val="20"/>
          <w:szCs w:val="20"/>
          <w:color w:val="auto"/>
        </w:rPr>
      </w:pPr>
    </w:p>
    <w:p>
      <w:pPr>
        <w:ind w:left="1260" w:right="40" w:hanging="720"/>
        <w:spacing w:after="0" w:line="256" w:lineRule="auto"/>
        <w:tabs>
          <w:tab w:leader="none" w:pos="1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civil and criminal false claims laws and civil monetary penalty laws, including the federal False Claims Act, impose criminal or civil penalties, as applicable, against individuals or entities for knowingly presenting, or causing to be presented, to the federal government (including the Medicare and Medicaid programs) or other third-party payor claims for payment that are false or fraudulent or making a false statement to avoid, decrease or conceal an obligation to pay money to the federal government;</w:t>
      </w:r>
    </w:p>
    <w:p>
      <w:pPr>
        <w:spacing w:after="0" w:line="88" w:lineRule="exact"/>
        <w:rPr>
          <w:rFonts w:ascii="Times New Roman" w:cs="Times New Roman" w:eastAsia="Times New Roman" w:hAnsi="Times New Roman"/>
          <w:sz w:val="20"/>
          <w:szCs w:val="20"/>
          <w:color w:val="auto"/>
        </w:rPr>
      </w:pPr>
    </w:p>
    <w:p>
      <w:pPr>
        <w:ind w:left="1260" w:right="60" w:hanging="720"/>
        <w:spacing w:after="0" w:line="254" w:lineRule="auto"/>
        <w:tabs>
          <w:tab w:leader="none" w:pos="12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Insurance Portability and Accountability Act of 1996, or HIPAA, established the federal offense of health care fraud,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9" w:lineRule="exact"/>
        <w:rPr>
          <w:rFonts w:ascii="Times New Roman" w:cs="Times New Roman" w:eastAsia="Times New Roman" w:hAnsi="Times New Roman"/>
          <w:sz w:val="20"/>
          <w:szCs w:val="20"/>
          <w:color w:val="auto"/>
        </w:rPr>
      </w:pPr>
    </w:p>
    <w:p>
      <w:pPr>
        <w:ind w:left="1260" w:right="60" w:hanging="720"/>
        <w:spacing w:after="0" w:line="278" w:lineRule="auto"/>
        <w:tabs>
          <w:tab w:leader="none" w:pos="12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HIPAA, as amended by Health Information Technology for Economic and Clinical Health Act, or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w:t>
      </w:r>
    </w:p>
    <w:p>
      <w:pPr>
        <w:sectPr>
          <w:pgSz w:w="12240" w:h="15840" w:orient="portrait"/>
          <w:cols w:equalWidth="0" w:num="1">
            <w:col w:w="9360"/>
          </w:cols>
          <w:pgMar w:left="1440" w:top="1378" w:right="1440" w:bottom="1440" w:gutter="0" w:footer="0" w:header="0"/>
        </w:sectPr>
      </w:pPr>
    </w:p>
    <w:bookmarkStart w:id="15" w:name="page16"/>
    <w:bookmarkEnd w:id="15"/>
    <w:p>
      <w:pPr>
        <w:ind w:left="1260" w:right="720"/>
        <w:spacing w:after="0" w:line="281" w:lineRule="auto"/>
        <w:rPr>
          <w:sz w:val="20"/>
          <w:szCs w:val="20"/>
          <w:color w:val="auto"/>
        </w:rPr>
      </w:pPr>
      <w:r>
        <w:rPr>
          <w:rFonts w:ascii="Times New Roman" w:cs="Times New Roman" w:eastAsia="Times New Roman" w:hAnsi="Times New Roman"/>
          <w:sz w:val="20"/>
          <w:szCs w:val="20"/>
          <w:color w:val="auto"/>
        </w:rPr>
        <w:t>such as health plans, healthcare clearinghouses and healthcare providers and their respective business associates and their covered subcontractors;</w:t>
      </w:r>
    </w:p>
    <w:p>
      <w:pPr>
        <w:spacing w:after="0" w:line="61" w:lineRule="exact"/>
        <w:rPr>
          <w:sz w:val="20"/>
          <w:szCs w:val="20"/>
          <w:color w:val="auto"/>
        </w:rPr>
      </w:pPr>
    </w:p>
    <w:p>
      <w:pPr>
        <w:ind w:left="1260" w:right="40" w:hanging="720"/>
        <w:spacing w:after="0" w:line="253" w:lineRule="auto"/>
        <w:tabs>
          <w:tab w:leader="none" w:pos="12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the Physician Payments Sunshine Act and its implementing regulations, requires applicable group purchasing organizations and manufacturers of drugs, devices, biologics and medical supplies for which payment is available under Medicare, Medicaid or the Children’s Health Insurance Program (with certain exceptions) to report annually to the U.S. Department of Health and Human Services, or HHS, information related to “payments or other transfers of value” made in the previous year to covered recipients, including physicians (defined to include doctors, dentists, optometrists, podiatrists and chiropractors, other health care professionals (such as nurse practitioners and physician assistants) and teaching hospitals, and information regarding ownership and investment interests held by physicians (as defined above) or their immediate family members; and</w:t>
      </w:r>
    </w:p>
    <w:p>
      <w:pPr>
        <w:spacing w:after="0" w:line="95" w:lineRule="exact"/>
        <w:rPr>
          <w:rFonts w:ascii="Times New Roman" w:cs="Times New Roman" w:eastAsia="Times New Roman" w:hAnsi="Times New Roman"/>
          <w:sz w:val="20"/>
          <w:szCs w:val="20"/>
          <w:color w:val="auto"/>
        </w:rPr>
      </w:pPr>
    </w:p>
    <w:p>
      <w:pPr>
        <w:ind w:left="1260" w:right="100" w:hanging="720"/>
        <w:spacing w:after="0" w:line="253" w:lineRule="auto"/>
        <w:tabs>
          <w:tab w:leader="none" w:pos="12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including: state anti-kickback and false claims laws that may apply to our business practices (including research, distribution, sales and marketing arrangements and claims involving healthcare items or services reimbursed by state governmental and non-governmental third-party payors, including private insurers); state and local laws that require certain regulatory licenses to manufacture or distribute pharmaceutical products commercially and/or the registration of pharmaceutical sales representatives; state laws that require pharmaceutical companies to comply with the pharmaceutical industry’s voluntary compliance guidelines and the applicable compliance guidance promulgated by the federal government; state laws that require drug manufacturers to track gifts and other remuneration and items of value provided to healthcare professionals and entities and file reports relating to pricing and marketing information; and state and foreign laws that govern the privacy and security of health information in specified circumstances, many of which differ from each other in significant ways and often are not preempted by HIPAA, thus complicating compliance efforts.</w:t>
      </w:r>
    </w:p>
    <w:p>
      <w:pPr>
        <w:spacing w:after="0" w:line="168"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any available statutory exceptions and safe harbors, it is possible that some of our current and future business activities could be subject to challenge under one or more of such laws.</w:t>
      </w:r>
    </w:p>
    <w:p>
      <w:pPr>
        <w:spacing w:after="0" w:line="155" w:lineRule="exact"/>
        <w:rPr>
          <w:sz w:val="20"/>
          <w:szCs w:val="20"/>
          <w:color w:val="auto"/>
        </w:rPr>
      </w:pPr>
    </w:p>
    <w:p>
      <w:pPr>
        <w:ind w:right="240" w:firstLine="450"/>
        <w:spacing w:after="0" w:line="258" w:lineRule="auto"/>
        <w:rPr>
          <w:sz w:val="20"/>
          <w:szCs w:val="20"/>
          <w:color w:val="auto"/>
        </w:rPr>
      </w:pPr>
      <w:r>
        <w:rPr>
          <w:rFonts w:ascii="Times New Roman" w:cs="Times New Roman" w:eastAsia="Times New Roman" w:hAnsi="Times New Roman"/>
          <w:sz w:val="20"/>
          <w:szCs w:val="20"/>
          <w:color w:val="auto"/>
        </w:rPr>
        <w:t>If our significant operations are found to be in violation of any of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14"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9"/>
          <w:szCs w:val="19"/>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Adoption of price controls and cost-containment measures, and adoption of more restrictive policies in jurisdictions with existing controls and measures,</w:t>
      </w:r>
    </w:p>
    <w:p>
      <w:pPr>
        <w:sectPr>
          <w:pgSz w:w="12240" w:h="15840" w:orient="portrait"/>
          <w:cols w:equalWidth="0" w:num="1">
            <w:col w:w="9360"/>
          </w:cols>
          <w:pgMar w:left="1440" w:top="1378" w:right="1440" w:bottom="1065" w:gutter="0" w:footer="0" w:header="0"/>
        </w:sectPr>
      </w:pPr>
    </w:p>
    <w:bookmarkStart w:id="16" w:name="page17"/>
    <w:bookmarkEnd w:id="16"/>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14"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w:t>
      </w:r>
    </w:p>
    <w:p>
      <w:pPr>
        <w:spacing w:after="0" w:line="163" w:lineRule="exact"/>
        <w:rPr>
          <w:sz w:val="20"/>
          <w:szCs w:val="20"/>
          <w:color w:val="auto"/>
        </w:rPr>
      </w:pPr>
    </w:p>
    <w:p>
      <w:pPr>
        <w:ind w:right="180" w:firstLine="450"/>
        <w:spacing w:after="0" w:line="260" w:lineRule="auto"/>
        <w:rPr>
          <w:sz w:val="20"/>
          <w:szCs w:val="20"/>
          <w:color w:val="auto"/>
        </w:rPr>
      </w:pPr>
      <w:r>
        <w:rPr>
          <w:rFonts w:ascii="Times New Roman" w:cs="Times New Roman" w:eastAsia="Times New Roman" w:hAnsi="Times New Roman"/>
          <w:sz w:val="20"/>
          <w:szCs w:val="20"/>
          <w:color w:val="auto"/>
        </w:rPr>
        <w:t>Since its enactment, there have been amendments to and judicial and congressional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66" w:lineRule="exact"/>
        <w:rPr>
          <w:sz w:val="20"/>
          <w:szCs w:val="20"/>
          <w:color w:val="auto"/>
        </w:rPr>
      </w:pPr>
    </w:p>
    <w:p>
      <w:pPr>
        <w:jc w:val="both"/>
        <w:ind w:right="80" w:firstLine="450"/>
        <w:spacing w:after="0" w:line="266"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spacing w:after="0" w:line="15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73" w:lineRule="exact"/>
        <w:rPr>
          <w:sz w:val="20"/>
          <w:szCs w:val="20"/>
          <w:color w:val="auto"/>
        </w:rPr>
      </w:pPr>
    </w:p>
    <w:p>
      <w:pPr>
        <w:ind w:right="100" w:firstLine="450"/>
        <w:spacing w:after="0" w:line="260" w:lineRule="auto"/>
        <w:rPr>
          <w:sz w:val="20"/>
          <w:szCs w:val="20"/>
          <w:color w:val="auto"/>
        </w:rPr>
      </w:pPr>
      <w:r>
        <w:rPr>
          <w:rFonts w:ascii="Times New Roman" w:cs="Times New Roman" w:eastAsia="Times New Roman" w:hAnsi="Times New Roman"/>
          <w:sz w:val="20"/>
          <w:szCs w:val="20"/>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ectPr>
          <w:pgSz w:w="12240" w:h="15840" w:orient="portrait"/>
          <w:cols w:equalWidth="0" w:num="1">
            <w:col w:w="9360"/>
          </w:cols>
          <w:pgMar w:left="1440" w:top="1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17"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Our wholly owned subsidiary, Complex Therapeutics LLC, owns a facility in Tarzana, California that is leased to AstraZeneca Pharmaceuticals LP, or AstraZeneca. The facility consists of 128,097 square feet of clinical and commercial manufacturing space.</w:t>
      </w:r>
    </w:p>
    <w:p>
      <w:pPr>
        <w:spacing w:after="0" w:line="155"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20"/>
          <w:szCs w:val="20"/>
          <w:color w:val="auto"/>
        </w:rPr>
        <w:t>Our headquarters is located in Dallas, Texas and consists of 5,055 square feet of leased office space under a lease that expires in April 2026. We also lease 7,728 square feet of laboratory and office space in Alderley Park, United Kingdom, under three leases that expire in November 2026.</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believe that our current facilities are adequate for our current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17" w:lineRule="exact"/>
        <w:rPr>
          <w:sz w:val="20"/>
          <w:szCs w:val="20"/>
          <w:color w:val="auto"/>
        </w:rPr>
      </w:pPr>
    </w:p>
    <w:p>
      <w:pPr>
        <w:ind w:right="500" w:firstLine="449"/>
        <w:spacing w:after="0" w:line="281" w:lineRule="auto"/>
        <w:rPr>
          <w:sz w:val="20"/>
          <w:szCs w:val="20"/>
          <w:color w:val="auto"/>
        </w:rPr>
      </w:pPr>
      <w:r>
        <w:rPr>
          <w:rFonts w:ascii="Times New Roman" w:cs="Times New Roman" w:eastAsia="Times New Roman" w:hAnsi="Times New Roman"/>
          <w:sz w:val="20"/>
          <w:szCs w:val="20"/>
          <w:color w:val="auto"/>
        </w:rPr>
        <w:t>As of December 31, 2025, we had 17 employees, all of whom were full-time. None of our employees are represented by labor unions or covered by collective bargaining agreements.</w:t>
      </w:r>
    </w:p>
    <w:p>
      <w:pPr>
        <w:spacing w:after="0" w:line="14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01" w:lineRule="exact"/>
        <w:rPr>
          <w:sz w:val="20"/>
          <w:szCs w:val="20"/>
          <w:color w:val="auto"/>
        </w:rPr>
      </w:pPr>
    </w:p>
    <w:p>
      <w:pPr>
        <w:ind w:right="400" w:firstLine="490"/>
        <w:spacing w:after="0" w:line="274" w:lineRule="auto"/>
        <w:rPr>
          <w:sz w:val="20"/>
          <w:szCs w:val="20"/>
          <w:color w:val="auto"/>
        </w:rPr>
      </w:pPr>
      <w:r>
        <w:rPr>
          <w:rFonts w:ascii="Times New Roman" w:cs="Times New Roman" w:eastAsia="Times New Roman" w:hAnsi="Times New Roman"/>
          <w:sz w:val="19"/>
          <w:szCs w:val="19"/>
          <w:color w:val="auto"/>
        </w:rPr>
        <w:t>We were incorporated under the laws of the State of Delaware in August of 2018. Our principal executive offices are located at 3963 Maple Avenue, Suite 350, Dallas, Texas 75219 and our telephone number is (972)</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499-3350. Our website address is instilbio.com.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01"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auto"/>
        </w:rPr>
        <w:t>Annual Reports on Form 10-K, Quarterly Reports on Form 10-Q, Current Reports on Form 8-K, and amendments to reports filed or furnished pursuant to Sections 13(a) and 15(d) of the Securities Exchange Act of 1934, as amended, or the Exchange Act, will be made available free of charge on our website as soon as reasonably practicable after we electronically file such material with, or furnish it to, the Securities and Exchange Commission, or SEC. The contents of our website are not incorporated into this Annual Report and our reference to the URL for our website is intended to be an inactive textual reference only. The information contained on, or that can be accessed through, our website is not a part of this document.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54"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ectPr>
          <w:pgSz w:w="12240" w:h="15840" w:orient="portrait"/>
          <w:cols w:equalWidth="0" w:num="1">
            <w:col w:w="9360"/>
          </w:cols>
          <w:pgMar w:left="1440" w:top="137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208" w:lineRule="exact"/>
        <w:rPr>
          <w:sz w:val="20"/>
          <w:szCs w:val="20"/>
          <w:color w:val="auto"/>
        </w:rPr>
      </w:pPr>
    </w:p>
    <w:p>
      <w:pPr>
        <w:ind w:left="500"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our inception and have identified an indicator of substantial doubt about our ability to continue as a going concern. We expect to incur losses for the foreseeable future and may never achieve or maintain profitability.</w:t>
      </w:r>
    </w:p>
    <w:p>
      <w:pPr>
        <w:spacing w:after="0" w:line="156"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Since our inception, we have incurred significant net losses, and we expect to continue to incur significant expenses and operating losses for the foreseeable future. Our net losses were $71.4 million and $74.1 million for the years ended December 31, 2025 and 2024, respectively. As of December 31, 2025, we had an accumulated deficit of $726.5 million. We have financed our operations with funds raised in our initial public offering, private placements of convertible preferred stock, rental income, and offerings under our at-the-market offering program to date. We have no products approved for commercialization and have never generated any revenue from product sales. In connection with the preparation of our consolidated financial statements accompanying this Annual Report on Form 10-K, we identified an indicator of substantial doubt about our ability to continue as a going concern.</w:t>
      </w:r>
    </w:p>
    <w:p>
      <w:pPr>
        <w:spacing w:after="0" w:line="173"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We expect to continue to incur significant expenses and operating losses over the next several years. We expect that it could be many years, if ever, before we have a commercialized product. Our net losses may fluctuate significantly from quarter to quarter and year to year. In addition to incurring legal, accounting and other expenses in operating as a public company and costs related to shutting down Axion Bio’s clinical trial of AXN-2510, we anticipate that our expenses will continue to be significant as we license or otherwise acquire new product candidates, as well as potentially initiate and complete clinical trials of new product candidates, seek regulatory approval for any product candidates that successfully complete clinical trials; scale up our clinical and regulatory capabilities; rely on third parties to manufacture current good manufacturing practices, or cGMP, material for clinical trials or potential commercial sales; establish a commercialization infrastructure and develop internal and external manufacturing and distribution capabilities to commercialize any product candidates for which we may obtain regulatory approval; adapt our regulatory compliance efforts to incorporate requirements applicable to marketed products; maintain, expand and protect the intellectual property portfolio for any product candidates we may seek to develop; hire clinical, manufacturing quality control, regulatory, manufacturing and scientific and administrative personnel; and add operational, financial and management information systems and personnel, including personnel to support our product development and planned future commercialization efforts.</w:t>
      </w:r>
    </w:p>
    <w:p>
      <w:pPr>
        <w:spacing w:after="0" w:line="178"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To date, we have not generated any revenue from product sales. Before we can become and remain profitable, we must succeed in licensing or otherwise acquiring one or more product candidates and developing and eventually commercializing such product candidates. This will require us to be successful in a range of challenging activities, including successfully identifying and acquiring or in-licensing one or more new product candidates, completing preclinical testing and clinical trials of any such product candidates, and obtaining regulatory approval, and manufacturing, marketing and selling any product candidates for which we may obtain regulatory approval. We are only in the preliminary stages of identifying potential new product candidates to in-license or acquire or invest in. We may never succeed in any of these activities and, even if we do, may never generate any revenue or revenue that is significant enough to achieve profitability.</w:t>
      </w:r>
    </w:p>
    <w:p>
      <w:pPr>
        <w:spacing w:after="0" w:line="169"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55" w:lineRule="exact"/>
        <w:rPr>
          <w:sz w:val="20"/>
          <w:szCs w:val="20"/>
          <w:color w:val="auto"/>
        </w:rPr>
      </w:pPr>
    </w:p>
    <w:p>
      <w:pPr>
        <w:ind w:left="480"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no history of completing any clinical trial or commercializing any product, which may make it difficult for an investor to evaluate the success of our business to date and to assess our future viability.</w:t>
      </w:r>
    </w:p>
    <w:p>
      <w:pPr>
        <w:spacing w:after="0" w:line="156" w:lineRule="exact"/>
        <w:rPr>
          <w:sz w:val="20"/>
          <w:szCs w:val="20"/>
          <w:color w:val="auto"/>
        </w:rPr>
      </w:pPr>
    </w:p>
    <w:p>
      <w:pPr>
        <w:ind w:right="80" w:firstLine="450"/>
        <w:spacing w:after="0" w:line="278" w:lineRule="auto"/>
        <w:rPr>
          <w:sz w:val="20"/>
          <w:szCs w:val="20"/>
          <w:color w:val="auto"/>
        </w:rPr>
      </w:pPr>
      <w:r>
        <w:rPr>
          <w:rFonts w:ascii="Times New Roman" w:cs="Times New Roman" w:eastAsia="Times New Roman" w:hAnsi="Times New Roman"/>
          <w:sz w:val="19"/>
          <w:szCs w:val="19"/>
          <w:color w:val="auto"/>
        </w:rPr>
        <w:t>We are a biotechnology company with a limited operating history. Since we commenced operations in 2019, we have not yet demonstrated our ability to successfully complete any clinical trials, obtain regulatory approvals, manufacture a product on a commercial scale, or arrange for a third party to do so on our behalf, or conduct sales and marketing activities necessary for successful commercialization. Consequently, any predictions you make about</w:t>
      </w:r>
    </w:p>
    <w:p>
      <w:pPr>
        <w:sectPr>
          <w:pgSz w:w="12240" w:h="15840" w:orient="portrait"/>
          <w:cols w:equalWidth="0" w:num="1">
            <w:col w:w="9360"/>
          </w:cols>
          <w:pgMar w:left="1440" w:top="1371" w:right="1440" w:bottom="925" w:gutter="0" w:footer="0" w:header="0"/>
        </w:sectPr>
      </w:pPr>
    </w:p>
    <w:bookmarkStart w:id="19" w:name="page20"/>
    <w:bookmarkEnd w:id="19"/>
    <w:p>
      <w:pPr>
        <w:ind w:right="520"/>
        <w:spacing w:after="0" w:line="281" w:lineRule="auto"/>
        <w:rPr>
          <w:sz w:val="20"/>
          <w:szCs w:val="20"/>
          <w:color w:val="auto"/>
        </w:rPr>
      </w:pPr>
      <w:r>
        <w:rPr>
          <w:rFonts w:ascii="Times New Roman" w:cs="Times New Roman" w:eastAsia="Times New Roman" w:hAnsi="Times New Roman"/>
          <w:sz w:val="20"/>
          <w:szCs w:val="20"/>
          <w:color w:val="auto"/>
        </w:rPr>
        <w:t>our future success or viability may not be as accurate as they could be if we had a longer operating history or a history of successfully developing and commercializing products.</w:t>
      </w:r>
    </w:p>
    <w:p>
      <w:pPr>
        <w:spacing w:after="0" w:line="141"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may encounter unforeseen expenses, difficulties, complications, delays and other known or unknown factors in achieving our business objectives. For example, several years ago we elected to discontinue our tumor infiltrating lymphocyte development program and our related ITIL-168 and ITIL-306 clinical trials. More recently, in January 2026 we discontinued development of AXN-2510. As part of discontinuing our prior development programs, we have significantly reduced our workforce in recent years. In the event we are successful in licensing or acquiring one or more new product candidates or we seek to develop new product candidates ourselves, we will need to develop clinical, manufacturing, regulatory and commercial capabilities, and we may not be successful in doing so.</w:t>
      </w:r>
    </w:p>
    <w:p>
      <w:pPr>
        <w:spacing w:after="0" w:line="164" w:lineRule="exact"/>
        <w:rPr>
          <w:sz w:val="20"/>
          <w:szCs w:val="20"/>
          <w:color w:val="auto"/>
        </w:rPr>
      </w:pPr>
    </w:p>
    <w:p>
      <w:pPr>
        <w:ind w:left="480"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to meet our financial obligations and to pursue our business objectives. If we are unable to raise capital when needed, we could be forced to delay or curtail our planned operations and the pursuit of our strategy.</w:t>
      </w:r>
    </w:p>
    <w:p>
      <w:pPr>
        <w:spacing w:after="0" w:line="156"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Our operations have consumed substantial amounts of cash since inception. Identifying and licensing or otherwise acquiring promising new product candidates, and subsequently successfully developing any such product candidates is a time-consuming, expensive and uncertain process that takes years to complete, and we may be unsuccessful or never generate the necessary data or results required to obtain regulatory approval and achieve product sales. We expect to continue to incur significant expenses and operating losses over the next several years as we seek to in-license or otherwise acquire new product candidates, initiate clinical trials of any such product candidates ensure a manufacturing supply of any such product candidates and seek marketing approval for any product candidates that successfully complete clinical trials. In addition, any product candidates, if approved, may not achieve commercial success. Our revenue, if any, will be derived from sales of products that we do not expect to be commercially available for many years, if at all. If we obtain marketing approval for any product candidates that we seek to develop, we expect to incur significant commercialization expenses related to product sales, marketing, distribution and manufacturing. We also expect to continue to incur significant expenses associated with operating as a public company. Accordingly, we will need to obtain substantial additional funding in order to continue our operations.</w:t>
      </w:r>
    </w:p>
    <w:p>
      <w:pPr>
        <w:spacing w:after="0" w:line="179" w:lineRule="exact"/>
        <w:rPr>
          <w:sz w:val="20"/>
          <w:szCs w:val="20"/>
          <w:color w:val="auto"/>
        </w:rPr>
      </w:pPr>
    </w:p>
    <w:p>
      <w:pPr>
        <w:ind w:right="320" w:firstLine="450"/>
        <w:spacing w:after="0" w:line="260" w:lineRule="auto"/>
        <w:rPr>
          <w:sz w:val="20"/>
          <w:szCs w:val="20"/>
          <w:color w:val="auto"/>
        </w:rPr>
      </w:pPr>
      <w:r>
        <w:rPr>
          <w:rFonts w:ascii="Times New Roman" w:cs="Times New Roman" w:eastAsia="Times New Roman" w:hAnsi="Times New Roman"/>
          <w:sz w:val="20"/>
          <w:szCs w:val="20"/>
          <w:color w:val="auto"/>
        </w:rPr>
        <w:t>As of December 31, 2025, we had cash, cash equivalents, restricted cash and marketable securities of $76.3 million, which consists of $6.6 million in cash and cash equivalents, $0.2 million of restricted cash and</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$69.5 million in marketable securities. We believe that our existing cash, cash equivalents and marketable securities will be sufficient to fund our operating expenses and capital requirements beyond 2027.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efforts to license or otherwise acquire of new product candidates, changes in development activities, and changes in regulation. Our future capital requirements will depend on many factors, including:</w:t>
      </w:r>
    </w:p>
    <w:p>
      <w:pPr>
        <w:spacing w:after="0" w:line="169" w:lineRule="exact"/>
        <w:rPr>
          <w:sz w:val="20"/>
          <w:szCs w:val="20"/>
          <w:color w:val="auto"/>
        </w:rPr>
      </w:pPr>
    </w:p>
    <w:p>
      <w:pPr>
        <w:ind w:left="1260" w:right="40" w:hanging="720"/>
        <w:spacing w:after="0" w:line="281" w:lineRule="auto"/>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license or otherwise acquire new product candidates and technologies and the cost of any such assets;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development requirements of product candidates that we may pursue;</w:t>
      </w:r>
    </w:p>
    <w:p>
      <w:pPr>
        <w:spacing w:after="0" w:line="130" w:lineRule="exact"/>
        <w:rPr>
          <w:rFonts w:ascii="Times New Roman" w:cs="Times New Roman" w:eastAsia="Times New Roman" w:hAnsi="Times New Roman"/>
          <w:sz w:val="20"/>
          <w:szCs w:val="20"/>
          <w:color w:val="auto"/>
        </w:rPr>
      </w:pPr>
    </w:p>
    <w:p>
      <w:pPr>
        <w:ind w:left="1260" w:right="200" w:hanging="720"/>
        <w:spacing w:after="0" w:line="281" w:lineRule="auto"/>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complete a potential sale of the Tarzana, California facility in an amount sufficient to repay the secured debt encumbering the facility;</w:t>
      </w:r>
    </w:p>
    <w:p>
      <w:pPr>
        <w:spacing w:after="0" w:line="61" w:lineRule="exact"/>
        <w:rPr>
          <w:rFonts w:ascii="Times New Roman" w:cs="Times New Roman" w:eastAsia="Times New Roman" w:hAnsi="Times New Roman"/>
          <w:sz w:val="20"/>
          <w:szCs w:val="20"/>
          <w:color w:val="auto"/>
        </w:rPr>
      </w:pPr>
    </w:p>
    <w:p>
      <w:pPr>
        <w:ind w:left="1260" w:right="640" w:hanging="720"/>
        <w:spacing w:after="0" w:line="281" w:lineRule="auto"/>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any product candidates we may seek to develop;</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cost of human capital as we expand our capabilities;</w:t>
      </w:r>
    </w:p>
    <w:p>
      <w:pPr>
        <w:spacing w:after="0" w:line="130" w:lineRule="exact"/>
        <w:rPr>
          <w:rFonts w:ascii="Times New Roman" w:cs="Times New Roman" w:eastAsia="Times New Roman" w:hAnsi="Times New Roman"/>
          <w:sz w:val="20"/>
          <w:szCs w:val="20"/>
          <w:color w:val="auto"/>
        </w:rPr>
      </w:pPr>
    </w:p>
    <w:p>
      <w:pPr>
        <w:jc w:val="both"/>
        <w:ind w:left="1260" w:right="620" w:hanging="720"/>
        <w:spacing w:after="0" w:line="266" w:lineRule="auto"/>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future commercialization activities, including product manufacturing, marketing, sales, and distribution, for any product candidates for which we receive marketing approval;</w:t>
      </w:r>
    </w:p>
    <w:p>
      <w:pPr>
        <w:sectPr>
          <w:pgSz w:w="12240" w:h="15840" w:orient="portrait"/>
          <w:cols w:equalWidth="0" w:num="1">
            <w:col w:w="9360"/>
          </w:cols>
          <w:pgMar w:left="1440" w:top="1378" w:right="1440" w:bottom="972" w:gutter="0" w:footer="0" w:header="0"/>
        </w:sectPr>
      </w:pPr>
    </w:p>
    <w:bookmarkStart w:id="20" w:name="page21"/>
    <w:bookmarkEnd w:id="20"/>
    <w:p>
      <w:pPr>
        <w:ind w:left="1260" w:right="460" w:hanging="720"/>
        <w:spacing w:after="0" w:line="281" w:lineRule="auto"/>
        <w:tabs>
          <w:tab w:leader="none" w:pos="12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if any, received from commercial sales of product candidates for which we receive marketing approval; and</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210"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will require substantial additional capital to achieve our business objectives.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worsening global economic conditions and the disruptions to and volatility in the credit and financial markets in the United States and worldwide, including those resulting from armed conflicts, U.S.-China trade and political tensions, heightened inflation and fluctuations in interest rates, tariffs, recent and potential future bank failures and supply chain disruptions, among other geopolitical and macroeconomic factors. If we are unable to raise sufficient additional capital, we could be forced to delay acquiring and developing new product candidates or curtail our planned operations and the pursuit of our strategy.</w:t>
      </w:r>
    </w:p>
    <w:p>
      <w:pPr>
        <w:spacing w:after="0" w:line="160" w:lineRule="exact"/>
        <w:rPr>
          <w:sz w:val="20"/>
          <w:szCs w:val="20"/>
          <w:color w:val="auto"/>
        </w:rPr>
      </w:pPr>
    </w:p>
    <w:p>
      <w:pPr>
        <w:ind w:left="480"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technologies or product candidates.</w:t>
      </w:r>
    </w:p>
    <w:p>
      <w:pPr>
        <w:spacing w:after="0" w:line="137"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will need to raise substantial additional capital to support our operations and execute on our business strategy. Until such time, if ever, as we can generate substantial revenue, we may finance our cash needs through a combination of equity offerings, government or private party grants, debt financings or license and collaboration agreements.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For example, the agreements governing the term loan contains certain affirmative and negative covenants, including restrictions on incurring additional debt, maintaining a specified minimum net worth and amount of liquid assets, which could limit our operations.</w:t>
      </w:r>
    </w:p>
    <w:p>
      <w:pPr>
        <w:spacing w:after="0" w:line="173" w:lineRule="exact"/>
        <w:rPr>
          <w:sz w:val="20"/>
          <w:szCs w:val="20"/>
          <w:color w:val="auto"/>
        </w:rPr>
      </w:pPr>
    </w:p>
    <w:p>
      <w:pPr>
        <w:ind w:right="60" w:firstLine="450"/>
        <w:spacing w:after="0" w:line="272" w:lineRule="auto"/>
        <w:rPr>
          <w:sz w:val="20"/>
          <w:szCs w:val="20"/>
          <w:color w:val="auto"/>
        </w:rPr>
      </w:pPr>
      <w:r>
        <w:rPr>
          <w:rFonts w:ascii="Times New Roman" w:cs="Times New Roman" w:eastAsia="Times New Roman" w:hAnsi="Times New Roman"/>
          <w:sz w:val="19"/>
          <w:szCs w:val="19"/>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5" w:lineRule="exact"/>
        <w:rPr>
          <w:sz w:val="20"/>
          <w:szCs w:val="20"/>
          <w:color w:val="auto"/>
        </w:rPr>
      </w:pPr>
    </w:p>
    <w:p>
      <w:pPr>
        <w:ind w:left="480" w:right="1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Complex Therapeutics LLC is unable to meet the conditions to exercise its option to extend the maturity of its term loan and/or is unable to refinance its term loan or raise sufficient capital to repay its term loan at maturity, or otherwise fails to comply with the terms of the loan agreement, including financial covenants, it could result in an event of default.</w:t>
      </w:r>
    </w:p>
    <w:p>
      <w:pPr>
        <w:spacing w:after="0" w:line="161"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term loan agreement between Complex Therapeutics LLC, our wholly owned subsidiary, and Midland National Life Insurance Company related to the refinancing of our construction loans secured by our Tarzana facility and land, or the term loan, is scheduled to reach maturity on January 10, 2027. Complex Therapeutics LLC has the option to extend the maturity date of the term loan by up to one year by giving notice to the lender between 120 and 30 days before the scheduled maturity date, subject to satisfaction of specified conditions, including the absence of any potential default or event of default, compliance with certain financial covenants, and payment of an extension fee and related lender costs. Although we currently expect Complex Therapeutics LLC to be able to satisfy these conditions, there can be no assurance that it will be able to do so at the time the extension option becomes exercisable. Any failure of Complex Therapeutics LLC to satisfy such conditions, or to otherwise refinance the term loan or sell the Tarzana facility for sufficient proceeds to repay the term loan at maturity, or any failure to comply with the loan covenants, could subject it to default.</w:t>
      </w:r>
    </w:p>
    <w:p>
      <w:pPr>
        <w:sectPr>
          <w:pgSz w:w="12240" w:h="15840" w:orient="portrait"/>
          <w:cols w:equalWidth="0" w:num="1">
            <w:col w:w="9360"/>
          </w:cols>
          <w:pgMar w:left="1440" w:top="1378" w:right="1440" w:bottom="1440" w:gutter="0" w:footer="0" w:header="0"/>
        </w:sectPr>
      </w:pPr>
    </w:p>
    <w:bookmarkStart w:id="21" w:name="page22"/>
    <w:bookmarkEnd w:id="21"/>
    <w:p>
      <w:pPr>
        <w:ind w:firstLine="450"/>
        <w:spacing w:after="0" w:line="252" w:lineRule="auto"/>
        <w:rPr>
          <w:sz w:val="20"/>
          <w:szCs w:val="20"/>
          <w:color w:val="auto"/>
        </w:rPr>
      </w:pPr>
      <w:r>
        <w:rPr>
          <w:rFonts w:ascii="Times New Roman" w:cs="Times New Roman" w:eastAsia="Times New Roman" w:hAnsi="Times New Roman"/>
          <w:sz w:val="20"/>
          <w:szCs w:val="20"/>
          <w:color w:val="auto"/>
        </w:rPr>
        <w:t>If Complex Therapeutics LLC is unable to obtain the extension or otherwise refinance the term loan, the full principal balance of the term loan would become due at its current maturity date in January 2027. Based on Complex Therapeutic LLC’s existing cash resources and projected lease income, we do not expect it to have sufficient cash on hand to repay the term loan in full at maturity without securing alternative financing or selling the Tarzana facility, neither of which may be available on acceptable terms or at all. If Complex Therapeutics LLC defaults under the loan agreement, the lender will be able to declare all obligations immediately due and payable and take control of its pledged assets, potentially requiring Complex Therapeutics LLC to renegotiate the loan agreement on terms less favorable or suffer worse outcomes. Although the Company has limited obligations related to the term loan and is not a primary obligor of the term loan, any declaration by the lender of an event of default could materially harm our prospects and cause the price of our common stock to decline. In addition, if, among other things, Complex Therapeutics LLC were to file a voluntary bankruptcy petition, an affiliate, officer, director or representative of us or Complex Therapeutics LLC were to file an involuntary bankruptcy petition against Complex Therapeutics LLC or acquiesce or join in an application for the appointment of a custodian, receiver, trustee or examiner for Complex Therapeutics LLC, or Complex Therapeutics LLC were to make an assignment for the benefit of creditors, we will be fully liable for Complex Therapeutics LLC’s obligations under the term loan, which could materially harm our financial position and prospects.</w:t>
      </w:r>
    </w:p>
    <w:p>
      <w:pPr>
        <w:spacing w:after="0" w:line="167" w:lineRule="exact"/>
        <w:rPr>
          <w:sz w:val="20"/>
          <w:szCs w:val="20"/>
          <w:color w:val="auto"/>
        </w:rPr>
      </w:pPr>
    </w:p>
    <w:p>
      <w:pPr>
        <w:ind w:left="48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suffered, and in the future could suffer, additional losses due to impairment charges related to our Tarzana, California facility, and, in the event of a sale of such facility, the proceeds could be less than our carrying value or the amount of the secured debt encumbering the facility.</w:t>
      </w:r>
    </w:p>
    <w:p>
      <w:pPr>
        <w:spacing w:after="0" w:line="156"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To date, we have recorded significant impairment losses on long-lived assets related to our Tarzana, California facility. Most recently, during the year ended December 31, 2025, we recorded aggregate impairment losses on long-lived assets held for sale of $16.6 million related to the Tarzana facility. We may suffer additional impairment losses related to the Tarzana facility. In addition, in the event the Tarzana facility is sold, we may not recover its carrying value, and we may suffer additional impairment losses. Further, it is possible that we will not be able to sell the facility for an amount equal to or greater than the amount of secured debt encumbering the facility.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Product Candidates</w:t>
      </w:r>
    </w:p>
    <w:p>
      <w:pPr>
        <w:spacing w:after="0" w:line="208" w:lineRule="exact"/>
        <w:rPr>
          <w:sz w:val="20"/>
          <w:szCs w:val="20"/>
          <w:color w:val="auto"/>
        </w:rPr>
      </w:pPr>
    </w:p>
    <w:p>
      <w:pPr>
        <w:ind w:left="480"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currently have no product candidate in active development. We have, and we may in the future, engage in strategic transactions to license or otherwise acquire new product candidates or technologies, and we may not be successful in developing or commercializing any such product candidates.</w:t>
      </w:r>
    </w:p>
    <w:p>
      <w:pPr>
        <w:spacing w:after="0" w:line="156"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Currently we do not have any product candidate in active development. We do not have any products that are approved for commercial sale, and we may never be able to license or acquire, develop or commercialize any marketable products. We are seeking to engage in strategic transactions to in-license or acquire and develop therapeutic assets for diseases with significant unmet need. We may not be able to identify, in-license or otherwise acquire, and subsequently develop, new product candidates. The licensing or acquisition of third-party intellectual property rights is a competitive area, and more established or more attractive companies may pursue strategies to license or acquire third-party intellectual property rights or assets that we may consider attractive for further development. These companies may have a competitive advantage over us due to their size, capital resources and/or greater clinical development, manufacturing and commercialization capabilities. In addition, companies that perceive us to be a competitor may be unwilling to assign or license rights to us, and companies that do not perceive us to be a potential competitor may be reluctant to consider licensing to us given our lack of relevant meaningful experience. In addition, the process of identifying new product candidates and technologies that may be available to acquire or in-license and assessing their potential and value is difficult and time-consuming. Even if we identify suitable candidates to license or acquire, negotiating strategic transactions is time-consuming. We also may be unable to license or acquire third-party intellectual property rights on terms that would allow us to make an appropriate return on our investment or at all. Even if we are successful in in our efforts to license or acquire product candidates,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We may not be successful in developing or commercializing any product candidate we may license or otherwise acquire and seek to develop. If we do not successfully develop and commercialize product candidates, we</w:t>
      </w:r>
    </w:p>
    <w:p>
      <w:pPr>
        <w:sectPr>
          <w:pgSz w:w="12240" w:h="15840" w:orient="portrait"/>
          <w:cols w:equalWidth="0" w:num="1">
            <w:col w:w="9360"/>
          </w:cols>
          <w:pgMar w:left="1440" w:top="1378" w:right="1440" w:bottom="866" w:gutter="0" w:footer="0" w:header="0"/>
        </w:sectPr>
      </w:pPr>
    </w:p>
    <w:bookmarkStart w:id="22" w:name="page23"/>
    <w:bookmarkEnd w:id="22"/>
    <w:p>
      <w:pPr>
        <w:ind w:right="440"/>
        <w:spacing w:after="0" w:line="281" w:lineRule="auto"/>
        <w:rPr>
          <w:sz w:val="20"/>
          <w:szCs w:val="20"/>
          <w:color w:val="auto"/>
        </w:rPr>
      </w:pPr>
      <w:r>
        <w:rPr>
          <w:rFonts w:ascii="Times New Roman" w:cs="Times New Roman" w:eastAsia="Times New Roman" w:hAnsi="Times New Roman"/>
          <w:sz w:val="20"/>
          <w:szCs w:val="20"/>
          <w:color w:val="auto"/>
        </w:rPr>
        <w:t>will not be able to obtain product revenue in future periods, which likely would result in significant harm to our financial position and adversely affect our stock price.</w:t>
      </w:r>
    </w:p>
    <w:p>
      <w:pPr>
        <w:spacing w:after="0" w:line="132" w:lineRule="exact"/>
        <w:rPr>
          <w:sz w:val="20"/>
          <w:szCs w:val="20"/>
          <w:color w:val="auto"/>
        </w:rPr>
      </w:pPr>
    </w:p>
    <w:p>
      <w:pPr>
        <w:ind w:left="480" w:right="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develop, receive regulatory approval for and commercialize product candidates for the indications we seek, or experience significant delays in doing so, our business will be harmed.</w:t>
      </w:r>
    </w:p>
    <w:p>
      <w:pPr>
        <w:spacing w:after="0" w:line="156"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20"/>
          <w:szCs w:val="20"/>
          <w:color w:val="auto"/>
        </w:rPr>
        <w:t>We currently have no product candidate in active development or any products approved for commercial sale. As a company, we have no prior experience completing any clinical trials; we have limited experience in preparing, submitting and prosecuting regulatory filings and we have not previously submitted an NDA or BLA, for any product candidate. Any product candidate that we are able to in-license or otherwise acquire will likely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69" w:lineRule="exact"/>
        <w:rPr>
          <w:sz w:val="20"/>
          <w:szCs w:val="20"/>
          <w:color w:val="auto"/>
        </w:rPr>
      </w:pPr>
    </w:p>
    <w:p>
      <w:pPr>
        <w:ind w:right="160" w:firstLine="450"/>
        <w:spacing w:after="0" w:line="260" w:lineRule="auto"/>
        <w:rPr>
          <w:sz w:val="20"/>
          <w:szCs w:val="20"/>
          <w:color w:val="auto"/>
        </w:rPr>
      </w:pPr>
      <w:r>
        <w:rPr>
          <w:rFonts w:ascii="Times New Roman" w:cs="Times New Roman" w:eastAsia="Times New Roman" w:hAnsi="Times New Roman"/>
          <w:sz w:val="20"/>
          <w:szCs w:val="20"/>
          <w:color w:val="auto"/>
        </w:rPr>
        <w:t>Our ability to generate revenue from any product candidates which we may seek to develop, which we do not expect will occur for many years, if ever, will depend heavily on the successful development, regulatory approval and eventual commercialization of one or more product candidates. The success of any product candidates that we may seek to develop will depend on several factors, including:</w:t>
      </w:r>
    </w:p>
    <w:p>
      <w:pPr>
        <w:spacing w:after="0" w:line="163" w:lineRule="exact"/>
        <w:rPr>
          <w:sz w:val="20"/>
          <w:szCs w:val="20"/>
          <w:color w:val="auto"/>
        </w:rPr>
      </w:pPr>
    </w:p>
    <w:p>
      <w:pPr>
        <w:ind w:left="1260" w:hanging="720"/>
        <w:spacing w:after="0"/>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successfully licensing or otherwise acquiring promising product candidates;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timely and successful completion of preclinical studies and clinical trials;</w:t>
      </w:r>
    </w:p>
    <w:p>
      <w:pPr>
        <w:spacing w:after="0" w:line="130" w:lineRule="exact"/>
        <w:rPr>
          <w:rFonts w:ascii="Times New Roman" w:cs="Times New Roman" w:eastAsia="Times New Roman" w:hAnsi="Times New Roman"/>
          <w:sz w:val="20"/>
          <w:szCs w:val="20"/>
          <w:color w:val="auto"/>
        </w:rPr>
      </w:pPr>
    </w:p>
    <w:p>
      <w:pPr>
        <w:ind w:left="1260" w:right="520" w:hanging="720"/>
        <w:spacing w:after="0" w:line="281" w:lineRule="auto"/>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INDs from the FDA or comparable foreign applications that allow commencement of clinical trials for such product candidates;</w:t>
      </w:r>
    </w:p>
    <w:p>
      <w:pPr>
        <w:spacing w:after="0" w:line="61" w:lineRule="exact"/>
        <w:rPr>
          <w:rFonts w:ascii="Times New Roman" w:cs="Times New Roman" w:eastAsia="Times New Roman" w:hAnsi="Times New Roman"/>
          <w:sz w:val="20"/>
          <w:szCs w:val="20"/>
          <w:color w:val="auto"/>
        </w:rPr>
      </w:pPr>
    </w:p>
    <w:p>
      <w:pPr>
        <w:ind w:left="1260" w:right="380" w:hanging="720"/>
        <w:spacing w:after="0" w:line="281" w:lineRule="auto"/>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sufficiency of our financial and other resources to complete the necessary preclinical studies and clinical trials;</w:t>
      </w:r>
    </w:p>
    <w:p>
      <w:pPr>
        <w:spacing w:after="0" w:line="61" w:lineRule="exact"/>
        <w:rPr>
          <w:rFonts w:ascii="Times New Roman" w:cs="Times New Roman" w:eastAsia="Times New Roman" w:hAnsi="Times New Roman"/>
          <w:sz w:val="20"/>
          <w:szCs w:val="20"/>
          <w:color w:val="auto"/>
        </w:rPr>
      </w:pPr>
    </w:p>
    <w:p>
      <w:pPr>
        <w:ind w:left="1260" w:right="420" w:hanging="720"/>
        <w:spacing w:after="0" w:line="281" w:lineRule="auto"/>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enrollment and completion of clinical trials, including under the FDA’s current Good Clinical Practices, or GCPs, and current Good Laboratory Practices;</w:t>
      </w:r>
    </w:p>
    <w:p>
      <w:pPr>
        <w:spacing w:after="0" w:line="61" w:lineRule="exact"/>
        <w:rPr>
          <w:rFonts w:ascii="Times New Roman" w:cs="Times New Roman" w:eastAsia="Times New Roman" w:hAnsi="Times New Roman"/>
          <w:sz w:val="20"/>
          <w:szCs w:val="20"/>
          <w:color w:val="auto"/>
        </w:rPr>
      </w:pPr>
    </w:p>
    <w:p>
      <w:pPr>
        <w:ind w:left="1260" w:right="1160" w:hanging="720"/>
        <w:spacing w:after="0" w:line="281" w:lineRule="auto"/>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development of, or making arrangements with third-party manufacturers for manufacturing product candidates;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timely marketing approvals from applicable regulatory authorities;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products, if approved, whether alone or in collaboration with others;</w:t>
      </w:r>
    </w:p>
    <w:p>
      <w:pPr>
        <w:spacing w:after="0" w:line="130" w:lineRule="exact"/>
        <w:rPr>
          <w:rFonts w:ascii="Times New Roman" w:cs="Times New Roman" w:eastAsia="Times New Roman" w:hAnsi="Times New Roman"/>
          <w:sz w:val="20"/>
          <w:szCs w:val="20"/>
          <w:color w:val="auto"/>
        </w:rPr>
      </w:pPr>
    </w:p>
    <w:p>
      <w:pPr>
        <w:ind w:left="1260" w:right="120" w:hanging="720"/>
        <w:spacing w:after="0" w:line="309" w:lineRule="auto"/>
        <w:tabs>
          <w:tab w:leader="none" w:pos="12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acceptance of the benefits and use of our products, including method of administration, if approved, by patients, the medical community and third-party payors, for their approved indications;</w:t>
      </w:r>
    </w:p>
    <w:p>
      <w:pPr>
        <w:spacing w:after="0" w:line="37" w:lineRule="exact"/>
        <w:rPr>
          <w:rFonts w:ascii="Times New Roman" w:cs="Times New Roman" w:eastAsia="Times New Roman" w:hAnsi="Times New Roman"/>
          <w:sz w:val="19"/>
          <w:szCs w:val="19"/>
          <w:color w:val="auto"/>
        </w:rPr>
      </w:pPr>
    </w:p>
    <w:p>
      <w:pPr>
        <w:ind w:left="1260" w:hanging="720"/>
        <w:spacing w:after="0"/>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adverse events experienced with any product candidates;</w:t>
      </w:r>
    </w:p>
    <w:p>
      <w:pPr>
        <w:spacing w:after="0" w:line="130" w:lineRule="exact"/>
        <w:rPr>
          <w:rFonts w:ascii="Times New Roman" w:cs="Times New Roman" w:eastAsia="Times New Roman" w:hAnsi="Times New Roman"/>
          <w:sz w:val="20"/>
          <w:szCs w:val="20"/>
          <w:color w:val="auto"/>
        </w:rPr>
      </w:pPr>
    </w:p>
    <w:p>
      <w:pPr>
        <w:ind w:left="1260" w:right="420" w:hanging="720"/>
        <w:spacing w:after="0" w:line="309" w:lineRule="auto"/>
        <w:tabs>
          <w:tab w:leader="none" w:pos="12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availability, perceived advantages, cost, safety and efficacy of alternative therapies for any product candidate, and any indications for such product candidate, that we may seek to develop;</w:t>
      </w:r>
    </w:p>
    <w:p>
      <w:pPr>
        <w:spacing w:after="0" w:line="37" w:lineRule="exact"/>
        <w:rPr>
          <w:rFonts w:ascii="Times New Roman" w:cs="Times New Roman" w:eastAsia="Times New Roman" w:hAnsi="Times New Roman"/>
          <w:sz w:val="19"/>
          <w:szCs w:val="19"/>
          <w:color w:val="auto"/>
        </w:rPr>
      </w:pPr>
    </w:p>
    <w:p>
      <w:pPr>
        <w:ind w:left="1260" w:hanging="720"/>
        <w:spacing w:after="0"/>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any product candidates we develop on a commercial scale;</w:t>
      </w:r>
    </w:p>
    <w:p>
      <w:pPr>
        <w:spacing w:after="0" w:line="130" w:lineRule="exact"/>
        <w:rPr>
          <w:rFonts w:ascii="Times New Roman" w:cs="Times New Roman" w:eastAsia="Times New Roman" w:hAnsi="Times New Roman"/>
          <w:sz w:val="20"/>
          <w:szCs w:val="20"/>
          <w:color w:val="auto"/>
        </w:rPr>
      </w:pPr>
    </w:p>
    <w:p>
      <w:pPr>
        <w:ind w:left="1260" w:right="260" w:hanging="720"/>
        <w:spacing w:after="0" w:line="266" w:lineRule="auto"/>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trademark and trade secret protection and regulatory exclusivity for any product candidates we may seek to develop and otherwise protecting our rights in our intellectual property portfolio;</w:t>
      </w:r>
    </w:p>
    <w:p>
      <w:pPr>
        <w:spacing w:after="0" w:line="75"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compliance with regulatory requirements, including cGMPs, and complying effectively with other procedures;</w:t>
      </w:r>
    </w:p>
    <w:p>
      <w:pPr>
        <w:spacing w:after="0" w:line="61" w:lineRule="exact"/>
        <w:rPr>
          <w:rFonts w:ascii="Times New Roman" w:cs="Times New Roman" w:eastAsia="Times New Roman" w:hAnsi="Times New Roman"/>
          <w:sz w:val="20"/>
          <w:szCs w:val="20"/>
          <w:color w:val="auto"/>
        </w:rPr>
      </w:pPr>
    </w:p>
    <w:p>
      <w:pPr>
        <w:ind w:left="1260" w:right="180" w:hanging="720"/>
        <w:spacing w:after="0" w:line="309" w:lineRule="auto"/>
        <w:tabs>
          <w:tab w:leader="none" w:pos="12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obtaining and maintaining third-party coverage and adequate reimbursement and patients’ willingness to pay out-of-pocket in the absence of such coverage and adequate reimbursement; and</w:t>
      </w:r>
    </w:p>
    <w:p>
      <w:pPr>
        <w:sectPr>
          <w:pgSz w:w="12240" w:h="15840" w:orient="portrait"/>
          <w:cols w:equalWidth="0" w:num="1">
            <w:col w:w="9360"/>
          </w:cols>
          <w:pgMar w:left="1440" w:top="1378" w:right="1440" w:bottom="1015" w:gutter="0" w:footer="0" w:header="0"/>
        </w:sectPr>
      </w:pPr>
    </w:p>
    <w:bookmarkStart w:id="23" w:name="page24"/>
    <w:bookmarkEnd w:id="23"/>
    <w:p>
      <w:pPr>
        <w:ind w:left="1260" w:right="80" w:hanging="720"/>
        <w:spacing w:after="0" w:line="281" w:lineRule="auto"/>
        <w:tabs>
          <w:tab w:leader="none" w:pos="12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tolerability and efficacy profile of the products following approval.</w:t>
      </w:r>
    </w:p>
    <w:p>
      <w:pPr>
        <w:spacing w:after="0" w:line="141"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If we are not successful with respect to one or more of these factors in a timely manner or at all, we could experience significant delays or an inability to successfully commercialize any product candidates we may seek to develop, which would materially harm our business. If we do not receive marketing approvals for any product candidate we develop, we may not be able to continue our operations. At any time, we may decide to discontinue the development of, or not to commercialize, a product candidate, such as our past decision to discontinue our ITIL-168, ITIL-306 and AXN-2510 development programs. If we terminate a program in which we have invested significant resources, we will not receive any return on our investment and we will have missed the opportunity to allocate those resources to potentially more productive uses.</w:t>
      </w:r>
    </w:p>
    <w:p>
      <w:pPr>
        <w:spacing w:after="0" w:line="164" w:lineRule="exact"/>
        <w:rPr>
          <w:sz w:val="20"/>
          <w:szCs w:val="20"/>
          <w:color w:val="auto"/>
        </w:rPr>
      </w:pPr>
    </w:p>
    <w:p>
      <w:pPr>
        <w:ind w:left="480" w:right="2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Clinical trials are expensive, time-consuming, difficult to design and implement and involve an uncertain outcome. Further, we may encounter substantial delays in completing the development of any product candidate we may seek to develop.</w:t>
      </w:r>
    </w:p>
    <w:p>
      <w:pPr>
        <w:spacing w:after="0" w:line="156"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The clinical trials and manufacturing of product candidates are, and the manufacturing and marketing of products, if approved, will be, subject to extensive and rigorous review and regulation by numerous government authorities in the United States and in other countries where we intend to test and market any product candidates. Before obtaining regulatory approvals for the commercial sale of any product candidates we may seek to develop, we must demonstrate through lengthy, complex and expensive preclinical testing and clinical trials that such product candidates are both safe and effective for use in each target indication. Each product candidate must demonstrate an adequate risk versus benefit profile in its intended patient population and for its intended use.</w:t>
      </w:r>
    </w:p>
    <w:p>
      <w:pPr>
        <w:spacing w:after="0" w:line="170"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20"/>
          <w:szCs w:val="20"/>
          <w:color w:val="auto"/>
        </w:rPr>
        <w:t>Clinical trials are expensive and can take many years to complete, and their outcomes are inherently uncertain. We cannot guarantee that any clinical trials we or a collaborator may conduct of any product candidates we may seek to develop will be conducted as planned or completed on schedule, if at all. Failure can occur at any time during the clinical trial process. Even if clinical trials are completed as planned, we cannot be certain that their results will support the safety and effectiveness of any product candidates for their targeted indications or support continued clinical development of such product candidates. Our clinical trials may not be successful.</w:t>
      </w:r>
    </w:p>
    <w:p>
      <w:pPr>
        <w:spacing w:after="0" w:line="168" w:lineRule="exact"/>
        <w:rPr>
          <w:sz w:val="20"/>
          <w:szCs w:val="20"/>
          <w:color w:val="auto"/>
        </w:rPr>
      </w:pPr>
    </w:p>
    <w:p>
      <w:pPr>
        <w:ind w:right="140" w:firstLine="450"/>
        <w:spacing w:after="0" w:line="254" w:lineRule="auto"/>
        <w:rPr>
          <w:sz w:val="20"/>
          <w:szCs w:val="20"/>
          <w:color w:val="auto"/>
        </w:rPr>
      </w:pPr>
      <w:r>
        <w:rPr>
          <w:rFonts w:ascii="Times New Roman" w:cs="Times New Roman" w:eastAsia="Times New Roman" w:hAnsi="Times New Roman"/>
          <w:sz w:val="20"/>
          <w:szCs w:val="20"/>
          <w:color w:val="auto"/>
        </w:rPr>
        <w:t>In addition, even if we successfully complete clinical trials, we cannot guarantee that the FDA, MHRA, EMA or other comparable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MHRA, EMA or other comparable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3"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To date, we have not completed any clinical trials required for the approval of any product candidate. We may experience delays in conducting any clinical trials and we do not know whether our clinical trials we decide to conduct will begin on time, need to be redesigned, recruit and enroll patients on time or be completed on schedule, or at all. Clinical trials can be delayed, suspended or terminated for a variety of reasons, including in connection with:</w:t>
      </w:r>
    </w:p>
    <w:p>
      <w:pPr>
        <w:spacing w:after="0" w:line="164" w:lineRule="exact"/>
        <w:rPr>
          <w:sz w:val="20"/>
          <w:szCs w:val="20"/>
          <w:color w:val="auto"/>
        </w:rPr>
      </w:pPr>
    </w:p>
    <w:p>
      <w:pPr>
        <w:ind w:left="1260" w:right="140" w:hanging="720"/>
        <w:spacing w:after="0" w:line="281" w:lineRule="auto"/>
        <w:tabs>
          <w:tab w:leader="none" w:pos="12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generate sufficient preclinical, toxicology, or other in vivo or in vitro data to support the initiation of clinical trials;</w:t>
      </w:r>
    </w:p>
    <w:p>
      <w:pPr>
        <w:spacing w:after="0" w:line="61" w:lineRule="exact"/>
        <w:rPr>
          <w:rFonts w:ascii="Times New Roman" w:cs="Times New Roman" w:eastAsia="Times New Roman" w:hAnsi="Times New Roman"/>
          <w:sz w:val="20"/>
          <w:szCs w:val="20"/>
          <w:color w:val="auto"/>
        </w:rPr>
      </w:pPr>
    </w:p>
    <w:p>
      <w:pPr>
        <w:ind w:left="1260" w:right="160" w:hanging="720"/>
        <w:spacing w:after="0" w:line="281" w:lineRule="auto"/>
        <w:tabs>
          <w:tab w:leader="none" w:pos="12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sufficiently developing, characterizing or controlling a manufacturing process suitable for advanced clinical trials;</w:t>
      </w:r>
    </w:p>
    <w:p>
      <w:pPr>
        <w:spacing w:after="0" w:line="61" w:lineRule="exact"/>
        <w:rPr>
          <w:rFonts w:ascii="Times New Roman" w:cs="Times New Roman" w:eastAsia="Times New Roman" w:hAnsi="Times New Roman"/>
          <w:sz w:val="20"/>
          <w:szCs w:val="20"/>
          <w:color w:val="auto"/>
        </w:rPr>
      </w:pPr>
    </w:p>
    <w:p>
      <w:pPr>
        <w:ind w:left="1260" w:right="380" w:hanging="720"/>
        <w:spacing w:after="0" w:line="281" w:lineRule="auto"/>
        <w:tabs>
          <w:tab w:leader="none" w:pos="12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developing suitable assays for screening patients for eligibility for trials with respect to certain product candidates;</w:t>
      </w:r>
    </w:p>
    <w:p>
      <w:pPr>
        <w:sectPr>
          <w:pgSz w:w="12240" w:h="15840" w:orient="portrait"/>
          <w:cols w:equalWidth="0" w:num="1">
            <w:col w:w="9360"/>
          </w:cols>
          <w:pgMar w:left="1440" w:top="1378" w:right="1440" w:bottom="1440" w:gutter="0" w:footer="0" w:header="0"/>
        </w:sectPr>
      </w:pPr>
    </w:p>
    <w:bookmarkStart w:id="24" w:name="page25"/>
    <w:bookmarkEnd w:id="24"/>
    <w:p>
      <w:pPr>
        <w:ind w:left="1260" w:right="220" w:hanging="720"/>
        <w:spacing w:after="0" w:line="281" w:lineRule="auto"/>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agreement with the FDA, MHRA, EMA or other regulatory authorities as to the design or implementation of our clinical trials;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regulatory authorization to commence a clinical trial;</w:t>
      </w:r>
    </w:p>
    <w:p>
      <w:pPr>
        <w:spacing w:after="0" w:line="130" w:lineRule="exact"/>
        <w:rPr>
          <w:rFonts w:ascii="Times New Roman" w:cs="Times New Roman" w:eastAsia="Times New Roman" w:hAnsi="Times New Roman"/>
          <w:sz w:val="20"/>
          <w:szCs w:val="20"/>
          <w:color w:val="auto"/>
        </w:rPr>
      </w:pPr>
    </w:p>
    <w:p>
      <w:pPr>
        <w:ind w:left="1260" w:right="240" w:hanging="720"/>
        <w:spacing w:after="0" w:line="266" w:lineRule="auto"/>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75"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institutional review board, or IRB, approval at each trial site;</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suitable patients to participate in a clinical trial;</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patients complete a clinical trial or return for post-treatment follow-up;</w:t>
      </w:r>
    </w:p>
    <w:p>
      <w:pPr>
        <w:spacing w:after="0" w:line="130" w:lineRule="exact"/>
        <w:rPr>
          <w:rFonts w:ascii="Times New Roman" w:cs="Times New Roman" w:eastAsia="Times New Roman" w:hAnsi="Times New Roman"/>
          <w:sz w:val="20"/>
          <w:szCs w:val="20"/>
          <w:color w:val="auto"/>
        </w:rPr>
      </w:pPr>
    </w:p>
    <w:p>
      <w:pPr>
        <w:ind w:left="1260" w:right="120" w:hanging="720"/>
        <w:spacing w:after="0" w:line="281" w:lineRule="auto"/>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inspections of clinical trial sites or operations by applicable regulatory authorities, or the imposition of a clinical hold;</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sites, CROs or other third parties deviating from trial protocol or dropping out of a trial;</w:t>
      </w:r>
    </w:p>
    <w:p>
      <w:pPr>
        <w:spacing w:after="0" w:line="130"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perform in accordance with the applicable regulatory requirements, including FDA’s GCP requirements, or applicable regulatory requirements in other countries;</w:t>
      </w:r>
    </w:p>
    <w:p>
      <w:pPr>
        <w:spacing w:after="0" w:line="61" w:lineRule="exact"/>
        <w:rPr>
          <w:rFonts w:ascii="Times New Roman" w:cs="Times New Roman" w:eastAsia="Times New Roman" w:hAnsi="Times New Roman"/>
          <w:sz w:val="20"/>
          <w:szCs w:val="20"/>
          <w:color w:val="auto"/>
        </w:rPr>
      </w:pPr>
    </w:p>
    <w:p>
      <w:pPr>
        <w:ind w:left="1260" w:right="420" w:hanging="720"/>
        <w:spacing w:after="0" w:line="266" w:lineRule="auto"/>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patient safety concerns that arise during the course of a trial, including occurrence of adverse events associated with the product candidate that are viewed to outweigh its potential benefits;</w:t>
      </w:r>
    </w:p>
    <w:p>
      <w:pPr>
        <w:spacing w:after="0" w:line="75"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adding a sufficient number of clinical trial sites;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sufficient quantities of product candidate for use in clinical trials; or</w:t>
      </w:r>
    </w:p>
    <w:p>
      <w:pPr>
        <w:spacing w:after="0" w:line="130" w:lineRule="exact"/>
        <w:rPr>
          <w:rFonts w:ascii="Times New Roman" w:cs="Times New Roman" w:eastAsia="Times New Roman" w:hAnsi="Times New Roman"/>
          <w:sz w:val="20"/>
          <w:szCs w:val="20"/>
          <w:color w:val="auto"/>
        </w:rPr>
      </w:pPr>
    </w:p>
    <w:p>
      <w:pPr>
        <w:ind w:left="1260" w:right="160" w:hanging="720"/>
        <w:spacing w:after="0" w:line="266" w:lineRule="auto"/>
        <w:tabs>
          <w:tab w:leader="none" w:pos="12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suspensions or terminations by IRBs of the institutions at which such trials are being conducted, by the Data Safety Monitoring Board, or DSMB, for such trial or by the FDA or other regulatory authorities due to a number of factors, including those described above.</w:t>
      </w:r>
    </w:p>
    <w:p>
      <w:pPr>
        <w:spacing w:after="0" w:line="155"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20"/>
          <w:szCs w:val="20"/>
          <w:color w:val="auto"/>
        </w:rPr>
        <w:t>We may experience numerous unforeseen events during, or as a result of, clinical trials that could delay or prevent our ability to receive marketing approval or commercialize any product candidates or significantly increase the cost of such trials, including:</w:t>
      </w:r>
    </w:p>
    <w:p>
      <w:pPr>
        <w:spacing w:after="0" w:line="155" w:lineRule="exact"/>
        <w:rPr>
          <w:sz w:val="20"/>
          <w:szCs w:val="20"/>
          <w:color w:val="auto"/>
        </w:rPr>
      </w:pPr>
    </w:p>
    <w:p>
      <w:pPr>
        <w:ind w:left="1260" w:right="600" w:hanging="720"/>
        <w:spacing w:after="0" w:line="281"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changes in regulatory requirements or guidance, or receive feedback from regulatory authorities that requires us to modify the design of our clinical trials;</w:t>
      </w:r>
    </w:p>
    <w:p>
      <w:pPr>
        <w:spacing w:after="0" w:line="61" w:lineRule="exact"/>
        <w:rPr>
          <w:rFonts w:ascii="Times New Roman" w:cs="Times New Roman" w:eastAsia="Times New Roman" w:hAnsi="Times New Roman"/>
          <w:sz w:val="20"/>
          <w:szCs w:val="20"/>
          <w:color w:val="auto"/>
        </w:rPr>
      </w:pPr>
    </w:p>
    <w:p>
      <w:pPr>
        <w:ind w:left="1260" w:right="240" w:hanging="720"/>
        <w:spacing w:after="0" w:line="266"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our product candidates may produce negative or inconclusive results, and we may decide, or regulators may require us, to conduct additional clinical trials or abandon development programs;</w:t>
      </w:r>
    </w:p>
    <w:p>
      <w:pPr>
        <w:spacing w:after="0" w:line="75" w:lineRule="exact"/>
        <w:rPr>
          <w:rFonts w:ascii="Times New Roman" w:cs="Times New Roman" w:eastAsia="Times New Roman" w:hAnsi="Times New Roman"/>
          <w:sz w:val="20"/>
          <w:szCs w:val="20"/>
          <w:color w:val="auto"/>
        </w:rPr>
      </w:pPr>
    </w:p>
    <w:p>
      <w:pPr>
        <w:jc w:val="both"/>
        <w:ind w:left="1260" w:right="300" w:hanging="720"/>
        <w:spacing w:after="0" w:line="266"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75" w:lineRule="exact"/>
        <w:rPr>
          <w:rFonts w:ascii="Times New Roman" w:cs="Times New Roman" w:eastAsia="Times New Roman" w:hAnsi="Times New Roman"/>
          <w:sz w:val="20"/>
          <w:szCs w:val="20"/>
          <w:color w:val="auto"/>
        </w:rPr>
      </w:pPr>
    </w:p>
    <w:p>
      <w:pPr>
        <w:ind w:left="1260" w:right="400" w:hanging="720"/>
        <w:spacing w:after="0" w:line="281"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and collaborators may fail to comply with regulatory requirements or meet their contractual obligations to us in a timely manner, or at all;</w:t>
      </w:r>
    </w:p>
    <w:p>
      <w:pPr>
        <w:spacing w:after="0" w:line="61" w:lineRule="exact"/>
        <w:rPr>
          <w:rFonts w:ascii="Times New Roman" w:cs="Times New Roman" w:eastAsia="Times New Roman" w:hAnsi="Times New Roman"/>
          <w:sz w:val="20"/>
          <w:szCs w:val="20"/>
          <w:color w:val="auto"/>
        </w:rPr>
      </w:pPr>
    </w:p>
    <w:p>
      <w:pPr>
        <w:ind w:left="1260" w:right="40" w:hanging="720"/>
        <w:spacing w:after="0" w:line="260"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collaborators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83" w:lineRule="exact"/>
        <w:rPr>
          <w:rFonts w:ascii="Times New Roman" w:cs="Times New Roman" w:eastAsia="Times New Roman" w:hAnsi="Times New Roman"/>
          <w:sz w:val="20"/>
          <w:szCs w:val="20"/>
          <w:color w:val="auto"/>
        </w:rPr>
      </w:pPr>
    </w:p>
    <w:p>
      <w:pPr>
        <w:ind w:left="1260" w:right="40" w:hanging="720"/>
        <w:spacing w:after="0" w:line="281"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 and we may not have funds to cover the costs;</w:t>
      </w:r>
    </w:p>
    <w:p>
      <w:pPr>
        <w:spacing w:after="0" w:line="61"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w:t>
      </w:r>
    </w:p>
    <w:p>
      <w:pPr>
        <w:sectPr>
          <w:pgSz w:w="12240" w:h="15840" w:orient="portrait"/>
          <w:cols w:equalWidth="0" w:num="1">
            <w:col w:w="9360"/>
          </w:cols>
          <w:pgMar w:left="1440" w:top="1378" w:right="1440" w:bottom="959" w:gutter="0" w:footer="0" w:header="0"/>
        </w:sectPr>
      </w:pPr>
    </w:p>
    <w:bookmarkStart w:id="25" w:name="page26"/>
    <w:bookmarkEnd w:id="25"/>
    <w:p>
      <w:pPr>
        <w:ind w:left="1260" w:right="200" w:hanging="720"/>
        <w:spacing w:after="0" w:line="281" w:lineRule="auto"/>
        <w:tabs>
          <w:tab w:leader="none" w:pos="12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may revise the requirements for approving our product candidates, or such requirements may not be as we anticipate; and</w:t>
      </w:r>
    </w:p>
    <w:p>
      <w:pPr>
        <w:spacing w:after="0" w:line="61" w:lineRule="exact"/>
        <w:rPr>
          <w:rFonts w:ascii="Times New Roman" w:cs="Times New Roman" w:eastAsia="Times New Roman" w:hAnsi="Times New Roman"/>
          <w:sz w:val="20"/>
          <w:szCs w:val="20"/>
          <w:color w:val="auto"/>
        </w:rPr>
      </w:pPr>
    </w:p>
    <w:p>
      <w:pPr>
        <w:ind w:left="1260" w:right="420" w:hanging="720"/>
        <w:spacing w:after="0" w:line="309" w:lineRule="auto"/>
        <w:tabs>
          <w:tab w:leader="none" w:pos="12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future collaborators that conduct clinical trials may face any of the above issues, and may conduct clinical trials in ways they view as advantageous to them but that are suboptimal for us.</w:t>
      </w:r>
    </w:p>
    <w:p>
      <w:pPr>
        <w:spacing w:after="0" w:line="117" w:lineRule="exact"/>
        <w:rPr>
          <w:sz w:val="20"/>
          <w:szCs w:val="20"/>
          <w:color w:val="auto"/>
        </w:rPr>
      </w:pPr>
    </w:p>
    <w:p>
      <w:pPr>
        <w:ind w:right="340" w:firstLine="450"/>
        <w:spacing w:after="0" w:line="260"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product candidates we may seek to develop beyond those that we plan for, if we are unable to successfully complete clinical trials of such product candidates or other testing, if the results of these trials or tests are not positive or are only modestly positive or if there are safety concerns, we may:</w:t>
      </w:r>
    </w:p>
    <w:p>
      <w:pPr>
        <w:spacing w:after="0" w:line="163" w:lineRule="exact"/>
        <w:rPr>
          <w:sz w:val="20"/>
          <w:szCs w:val="20"/>
          <w:color w:val="auto"/>
        </w:rPr>
      </w:pPr>
    </w:p>
    <w:p>
      <w:pPr>
        <w:ind w:left="1260" w:hanging="720"/>
        <w:spacing w:after="0"/>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unplanned costs;</w:t>
      </w:r>
    </w:p>
    <w:p>
      <w:pPr>
        <w:spacing w:after="0" w:line="130" w:lineRule="exact"/>
        <w:rPr>
          <w:rFonts w:ascii="Times New Roman" w:cs="Times New Roman" w:eastAsia="Times New Roman" w:hAnsi="Times New Roman"/>
          <w:sz w:val="20"/>
          <w:szCs w:val="20"/>
          <w:color w:val="auto"/>
        </w:rPr>
      </w:pPr>
    </w:p>
    <w:p>
      <w:pPr>
        <w:ind w:left="1260" w:right="540" w:hanging="720"/>
        <w:spacing w:after="0" w:line="281" w:lineRule="auto"/>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for our product candidates or not obtain marketing approval at all;</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marketing approval in some countries and not in others;</w:t>
      </w:r>
    </w:p>
    <w:p>
      <w:pPr>
        <w:spacing w:after="0" w:line="130" w:lineRule="exact"/>
        <w:rPr>
          <w:rFonts w:ascii="Times New Roman" w:cs="Times New Roman" w:eastAsia="Times New Roman" w:hAnsi="Times New Roman"/>
          <w:sz w:val="20"/>
          <w:szCs w:val="20"/>
          <w:color w:val="auto"/>
        </w:rPr>
      </w:pPr>
    </w:p>
    <w:p>
      <w:pPr>
        <w:ind w:left="1260" w:right="140" w:hanging="720"/>
        <w:spacing w:after="0" w:line="281" w:lineRule="auto"/>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marketing approval for indications or patient populations that are not as broad as intended or desired;</w:t>
      </w:r>
    </w:p>
    <w:p>
      <w:pPr>
        <w:spacing w:after="0" w:line="61" w:lineRule="exact"/>
        <w:rPr>
          <w:rFonts w:ascii="Times New Roman" w:cs="Times New Roman" w:eastAsia="Times New Roman" w:hAnsi="Times New Roman"/>
          <w:sz w:val="20"/>
          <w:szCs w:val="20"/>
          <w:color w:val="auto"/>
        </w:rPr>
      </w:pPr>
    </w:p>
    <w:p>
      <w:pPr>
        <w:ind w:left="1260" w:right="120" w:hanging="720"/>
        <w:spacing w:after="0" w:line="281" w:lineRule="auto"/>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marketing approval with labeling that includes significant use or distribution restrictions or safety warnings, including boxed warnings or Risk Evaluation and Mitigation Strategies, or REMS;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post-marketing testing requirements;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changes in the way the product is administered; or</w:t>
      </w:r>
    </w:p>
    <w:p>
      <w:pPr>
        <w:spacing w:after="0" w:line="130" w:lineRule="exact"/>
        <w:rPr>
          <w:rFonts w:ascii="Times New Roman" w:cs="Times New Roman" w:eastAsia="Times New Roman" w:hAnsi="Times New Roman"/>
          <w:sz w:val="20"/>
          <w:szCs w:val="20"/>
          <w:color w:val="auto"/>
        </w:rPr>
      </w:pPr>
    </w:p>
    <w:p>
      <w:pPr>
        <w:ind w:left="1260" w:right="120" w:hanging="720"/>
        <w:spacing w:after="0" w:line="281" w:lineRule="auto"/>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regulatory authorities withdraw or suspend their approval of the product or impose restrictions on its distribution after obtaining marketing approval.</w:t>
      </w:r>
    </w:p>
    <w:p>
      <w:pPr>
        <w:spacing w:after="0" w:line="141"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9"/>
          <w:szCs w:val="19"/>
          <w:color w:val="auto"/>
        </w:rPr>
        <w:t>We could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53"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9"/>
          <w:szCs w:val="19"/>
          <w:color w:val="auto"/>
        </w:rPr>
        <w:t>Any product candidate we may seek to develop will require extensive clinical testing before we are prepared to submit an NDA, BLA or marketing authorization application, or MAA, for regulatory approval. We cannot predict with any certainty if or when we might complete the clinical development for any product candidates we may seek to develop and submit an NDA, BLA or MAA for regulatory approval of any such product candidates or whether any such NDA, BLA or MAA will be approved. We may also seek feedback from the FDA, or other regulatory authorities on our clinical development program, and such regulatory authorities may not provide such feedback on a timely basis, or such feedback may not be favorable, which could further delay our development programs.</w:t>
      </w:r>
    </w:p>
    <w:p>
      <w:pPr>
        <w:spacing w:after="0" w:line="153"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We cannot predict with any certainty whether or when we might complete a given clinical trial. If we experience delays in the commencement or completion of clinical trials for any product candidates we may seek to develop, or if we terminate a clinical trial prior to completion, the commercial prospects of any such product candidates could be harmed, and our ability to generate revenues from such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ectPr>
          <w:pgSz w:w="12240" w:h="15840" w:orient="portrait"/>
          <w:cols w:equalWidth="0" w:num="1">
            <w:col w:w="9360"/>
          </w:cols>
          <w:pgMar w:left="1440" w:top="1378" w:right="1440" w:bottom="1440" w:gutter="0" w:footer="0" w:header="0"/>
        </w:sectPr>
      </w:pPr>
    </w:p>
    <w:bookmarkStart w:id="26" w:name="page27"/>
    <w:bookmarkEnd w:id="26"/>
    <w:p>
      <w:pPr>
        <w:ind w:left="480" w:right="440"/>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The regulatory approval processes of the FDA, MHRA, EMA and comparable foreign authorities are lengthy, time consuming and inherently unpredictable. If we are not able to obtain required regulatory approval for product candidates we may seek to develop, our business will be substantially harmed.</w:t>
      </w:r>
    </w:p>
    <w:p>
      <w:pPr>
        <w:spacing w:after="0" w:line="140"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The time required to obtain approval or other marketing authorizations by the FDA, MHRA,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future collaborator is permitted to market any drug product candidates in the United States until we receive regulatory approval of an NDA or BLA from the FDA, and we cannot market them in the European Union until we receive approval for a MAA from the EMA, or in other foreign countries until we receive the required regulatory approval in such other countries.</w:t>
      </w:r>
    </w:p>
    <w:p>
      <w:pPr>
        <w:spacing w:after="0" w:line="173"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Prior to obtaining approval to commercialize any drug product candidate in the United States or abroad, we must demonstrate with substantial evidence from well-controlled clinical trials, and to the satisfaction of the FDA, MHRA, EMA or other comparable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MHRA, EMA or other regulatory agency may also require us to conduct additional preclinical studies or clinical trials for our product candidates either prior to or after approval, or it may object to elements of our clinical development programs.</w:t>
      </w:r>
    </w:p>
    <w:p>
      <w:pPr>
        <w:spacing w:after="0" w:line="173" w:lineRule="exact"/>
        <w:rPr>
          <w:sz w:val="20"/>
          <w:szCs w:val="20"/>
          <w:color w:val="auto"/>
        </w:rPr>
      </w:pPr>
    </w:p>
    <w:p>
      <w:pPr>
        <w:ind w:right="300" w:firstLine="450"/>
        <w:spacing w:after="0" w:line="281" w:lineRule="auto"/>
        <w:rPr>
          <w:sz w:val="20"/>
          <w:szCs w:val="20"/>
          <w:color w:val="auto"/>
        </w:rPr>
      </w:pPr>
      <w:r>
        <w:rPr>
          <w:rFonts w:ascii="Times New Roman" w:cs="Times New Roman" w:eastAsia="Times New Roman" w:hAnsi="Times New Roman"/>
          <w:sz w:val="20"/>
          <w:szCs w:val="20"/>
          <w:color w:val="auto"/>
        </w:rPr>
        <w:t>Any product candidates we may seek to develop could fail to receive regulatory approval for many reasons, including the following:</w:t>
      </w:r>
    </w:p>
    <w:p>
      <w:pPr>
        <w:spacing w:after="0" w:line="141" w:lineRule="exact"/>
        <w:rPr>
          <w:sz w:val="20"/>
          <w:szCs w:val="20"/>
          <w:color w:val="auto"/>
        </w:rPr>
      </w:pPr>
    </w:p>
    <w:p>
      <w:pPr>
        <w:ind w:left="1260" w:right="1220" w:hanging="720"/>
        <w:spacing w:after="0" w:line="281" w:lineRule="auto"/>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or any future collaborators' clinical trials;</w:t>
      </w:r>
    </w:p>
    <w:p>
      <w:pPr>
        <w:spacing w:after="0" w:line="61" w:lineRule="exact"/>
        <w:rPr>
          <w:rFonts w:ascii="Times New Roman" w:cs="Times New Roman" w:eastAsia="Times New Roman" w:hAnsi="Times New Roman"/>
          <w:sz w:val="20"/>
          <w:szCs w:val="20"/>
          <w:color w:val="auto"/>
        </w:rPr>
      </w:pPr>
    </w:p>
    <w:p>
      <w:pPr>
        <w:ind w:left="1260" w:right="300" w:hanging="720"/>
        <w:spacing w:after="0" w:line="281" w:lineRule="auto"/>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w:t>
      </w:r>
    </w:p>
    <w:p>
      <w:pPr>
        <w:spacing w:after="0" w:line="61" w:lineRule="exact"/>
        <w:rPr>
          <w:rFonts w:ascii="Times New Roman" w:cs="Times New Roman" w:eastAsia="Times New Roman" w:hAnsi="Times New Roman"/>
          <w:sz w:val="20"/>
          <w:szCs w:val="20"/>
          <w:color w:val="auto"/>
        </w:rPr>
      </w:pPr>
    </w:p>
    <w:p>
      <w:pPr>
        <w:ind w:left="1260" w:right="140" w:hanging="720"/>
        <w:spacing w:after="0" w:line="281" w:lineRule="auto"/>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61" w:lineRule="exact"/>
        <w:rPr>
          <w:rFonts w:ascii="Times New Roman" w:cs="Times New Roman" w:eastAsia="Times New Roman" w:hAnsi="Times New Roman"/>
          <w:sz w:val="20"/>
          <w:szCs w:val="20"/>
          <w:color w:val="auto"/>
        </w:rPr>
      </w:pPr>
    </w:p>
    <w:p>
      <w:pPr>
        <w:ind w:left="1260" w:right="160" w:hanging="720"/>
        <w:spacing w:after="0" w:line="281" w:lineRule="auto"/>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61" w:lineRule="exact"/>
        <w:rPr>
          <w:rFonts w:ascii="Times New Roman" w:cs="Times New Roman" w:eastAsia="Times New Roman" w:hAnsi="Times New Roman"/>
          <w:sz w:val="20"/>
          <w:szCs w:val="20"/>
          <w:color w:val="auto"/>
        </w:rPr>
      </w:pPr>
    </w:p>
    <w:p>
      <w:pPr>
        <w:ind w:left="1260" w:right="700" w:hanging="720"/>
        <w:spacing w:after="0" w:line="266" w:lineRule="auto"/>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Times New Roman" w:cs="Times New Roman" w:eastAsia="Times New Roman" w:hAnsi="Times New Roman"/>
          <w:sz w:val="20"/>
          <w:szCs w:val="20"/>
          <w:color w:val="auto"/>
        </w:rPr>
      </w:pPr>
    </w:p>
    <w:p>
      <w:pPr>
        <w:ind w:left="1260" w:right="160" w:hanging="720"/>
        <w:spacing w:after="0" w:line="281" w:lineRule="auto"/>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policies or regulations of the FDA or comparable foreign authorities may significantly change in a manner rendering our clinical data insufficient for approval.</w:t>
      </w:r>
    </w:p>
    <w:p>
      <w:pPr>
        <w:spacing w:after="0" w:line="141" w:lineRule="exact"/>
        <w:rPr>
          <w:sz w:val="20"/>
          <w:szCs w:val="20"/>
          <w:color w:val="auto"/>
        </w:rPr>
      </w:pPr>
    </w:p>
    <w:p>
      <w:pPr>
        <w:ind w:right="280" w:firstLine="450"/>
        <w:spacing w:after="0" w:line="258" w:lineRule="auto"/>
        <w:rPr>
          <w:sz w:val="20"/>
          <w:szCs w:val="20"/>
          <w:color w:val="auto"/>
        </w:rPr>
      </w:pPr>
      <w:r>
        <w:rPr>
          <w:rFonts w:ascii="Times New Roman" w:cs="Times New Roman" w:eastAsia="Times New Roman" w:hAnsi="Times New Roman"/>
          <w:sz w:val="20"/>
          <w:szCs w:val="20"/>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64"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If we are successful in licensing or otherwise acquiring new product candidates, our business will be dependent on our ability to successfully complete preclinical and clinical development of, obtain regulatory approval for, and, if approved, successfully commercialize such product candidates in a timely manner.</w:t>
      </w:r>
    </w:p>
    <w:p>
      <w:pPr>
        <w:sectPr>
          <w:pgSz w:w="12240" w:h="15840" w:orient="portrait"/>
          <w:cols w:equalWidth="0" w:num="1">
            <w:col w:w="9360"/>
          </w:cols>
          <w:pgMar w:left="1440" w:top="1369" w:right="1440" w:bottom="1440" w:gutter="0" w:footer="0" w:header="0"/>
        </w:sectPr>
      </w:pPr>
    </w:p>
    <w:bookmarkStart w:id="27" w:name="page28"/>
    <w:bookmarkEnd w:id="27"/>
    <w:p>
      <w:pPr>
        <w:ind w:right="100" w:firstLine="450"/>
        <w:spacing w:after="0" w:line="253" w:lineRule="auto"/>
        <w:rPr>
          <w:sz w:val="20"/>
          <w:szCs w:val="20"/>
          <w:color w:val="auto"/>
        </w:rPr>
      </w:pPr>
      <w:r>
        <w:rPr>
          <w:rFonts w:ascii="Times New Roman" w:cs="Times New Roman" w:eastAsia="Times New Roman" w:hAnsi="Times New Roman"/>
          <w:sz w:val="20"/>
          <w:szCs w:val="20"/>
          <w:color w:val="auto"/>
        </w:rPr>
        <w:t>Even if we eventually complete clinical testing and receive approval of an NDA or BLA or foreign marketing application for any product candidates, the FDA, MHRA, EMA or the applicable foreign regulatory agency may grant approval or other marketing authorization contingent on the performance of costly additional clinical trials, including post-marketing clinical trials. The FDA, MHRA, EMA or the applicable foreign regulatory agency also may approve or authorize for marketing a product candidate for a more limited indication or patient population than we originally request, and the FDA, MHRA,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76"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In addition, the FDA, MHRA,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55" w:lineRule="exact"/>
        <w:rPr>
          <w:sz w:val="20"/>
          <w:szCs w:val="20"/>
          <w:color w:val="auto"/>
        </w:rPr>
      </w:pPr>
    </w:p>
    <w:p>
      <w:pPr>
        <w:ind w:left="480"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Success in preclinical studies or earlier clinical trials may not be indicative of results in future clinical trials. Any product candidates we may seek to develop may not have favorable results in later clinical trials, if any, or receive regulatory approval.</w:t>
      </w:r>
    </w:p>
    <w:p>
      <w:pPr>
        <w:spacing w:after="0" w:line="156"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Success in preclinical testing and early stage clinical trials, including testing and trials conducted by us or any future collaborator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any product candidates we may seek to develop, which could delay or frustrate our ability to proceed into clinical trials or obtain marketing approval. Product candidates we may seek to develop may fail to show the desired safety and efficacy in clinical development despite having progressed through preclinical studies and initial clinical trials.</w:t>
      </w:r>
    </w:p>
    <w:p>
      <w:pPr>
        <w:spacing w:after="0" w:line="176"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product candidate development. Any such delays could negatively impact our business, financial condition, results of operations and prospects.</w:t>
      </w:r>
    </w:p>
    <w:p>
      <w:pPr>
        <w:spacing w:after="0" w:line="159" w:lineRule="exact"/>
        <w:rPr>
          <w:sz w:val="20"/>
          <w:szCs w:val="20"/>
          <w:color w:val="auto"/>
        </w:rPr>
      </w:pPr>
    </w:p>
    <w:p>
      <w:pPr>
        <w:jc w:val="both"/>
        <w:ind w:left="48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results from clinical trials that we may announce or publish from time to time may change as more data become available and are subject to audit and verification procedures that could result in material changes in the final data.</w:t>
      </w:r>
    </w:p>
    <w:p>
      <w:pPr>
        <w:spacing w:after="0" w:line="156"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If we are successful in licensing or otherwise acquiring new product candidates, 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and they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ectPr>
          <w:pgSz w:w="12240" w:h="15840" w:orient="portrait"/>
          <w:cols w:equalWidth="0" w:num="1">
            <w:col w:w="9360"/>
          </w:cols>
          <w:pgMar w:left="1440" w:top="1378" w:right="1440" w:bottom="908" w:gutter="0" w:footer="0" w:header="0"/>
        </w:sectPr>
      </w:pPr>
    </w:p>
    <w:bookmarkStart w:id="28" w:name="page29"/>
    <w:bookmarkEnd w:id="28"/>
    <w:p>
      <w:pPr>
        <w:ind w:right="140" w:firstLine="450"/>
        <w:spacing w:after="0" w:line="253"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materially harmed, which could significantly harm our business prospects.</w:t>
      </w:r>
    </w:p>
    <w:p>
      <w:pPr>
        <w:spacing w:after="0" w:line="162" w:lineRule="exact"/>
        <w:rPr>
          <w:sz w:val="20"/>
          <w:szCs w:val="20"/>
          <w:color w:val="auto"/>
        </w:rPr>
      </w:pPr>
    </w:p>
    <w:p>
      <w:pPr>
        <w:ind w:left="480"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preclinical studies and clinical trials of product candidates we may seek to develop may fail to demonstrate substantial evidence of the safety and efficacy of such product candidates, or serious adverse or unacceptable side effects may be identified during the development of such product candidates, which could prevent, delay or limit the scope of regulatory approval of such product candidates, limit their commercialization, increase our costs or necessitate the abandonment or limitation of the development of some or all of such product candidates.</w:t>
      </w:r>
    </w:p>
    <w:p>
      <w:pPr>
        <w:spacing w:after="0" w:line="166"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20"/>
          <w:szCs w:val="20"/>
          <w:color w:val="auto"/>
        </w:rPr>
        <w:t>To obtain the requisite regulatory approvals for the commercial sale of any product candidate we may seek to develop, we must demonstrate through lengthy, complex and expensive preclinical testing and clinical trials that such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68" w:lineRule="exact"/>
        <w:rPr>
          <w:sz w:val="20"/>
          <w:szCs w:val="20"/>
          <w:color w:val="auto"/>
        </w:rPr>
      </w:pPr>
    </w:p>
    <w:p>
      <w:pPr>
        <w:ind w:right="480" w:firstLine="450"/>
        <w:spacing w:after="0" w:line="266" w:lineRule="auto"/>
        <w:rPr>
          <w:sz w:val="20"/>
          <w:szCs w:val="20"/>
          <w:color w:val="auto"/>
        </w:rPr>
      </w:pPr>
      <w:r>
        <w:rPr>
          <w:rFonts w:ascii="Times New Roman" w:cs="Times New Roman" w:eastAsia="Times New Roman" w:hAnsi="Times New Roman"/>
          <w:sz w:val="20"/>
          <w:szCs w:val="20"/>
          <w:color w:val="auto"/>
        </w:rPr>
        <w:t>We may fail to demonstrate with substantial evidence from adequate and well-controlled trials, and to the satisfaction of the FDA or comparable foreign regulatory authorities, that product candidates we may seek to develop are safe and potent for their intended uses.</w:t>
      </w:r>
    </w:p>
    <w:p>
      <w:pPr>
        <w:spacing w:after="0" w:line="155" w:lineRule="exact"/>
        <w:rPr>
          <w:sz w:val="20"/>
          <w:szCs w:val="20"/>
          <w:color w:val="auto"/>
        </w:rPr>
      </w:pPr>
    </w:p>
    <w:p>
      <w:pPr>
        <w:ind w:right="240" w:firstLine="450"/>
        <w:spacing w:after="0" w:line="256" w:lineRule="auto"/>
        <w:rPr>
          <w:sz w:val="20"/>
          <w:szCs w:val="20"/>
          <w:color w:val="auto"/>
        </w:rPr>
      </w:pPr>
      <w:r>
        <w:rPr>
          <w:rFonts w:ascii="Times New Roman" w:cs="Times New Roman" w:eastAsia="Times New Roman" w:hAnsi="Times New Roman"/>
          <w:sz w:val="20"/>
          <w:szCs w:val="20"/>
          <w:color w:val="auto"/>
        </w:rPr>
        <w:t>If any product candidates we may seek to develop are associated with undesirable side effects in preclinical studies or clinical trials or have characteristics that are unexpected, we may decide or be required to perform additional preclinical studies or to halt or delay further clinical development of such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68" w:lineRule="exact"/>
        <w:rPr>
          <w:sz w:val="20"/>
          <w:szCs w:val="20"/>
          <w:color w:val="auto"/>
        </w:rPr>
      </w:pPr>
    </w:p>
    <w:p>
      <w:pPr>
        <w:ind w:right="140" w:firstLine="450"/>
        <w:spacing w:after="0" w:line="267" w:lineRule="auto"/>
        <w:rPr>
          <w:sz w:val="20"/>
          <w:szCs w:val="20"/>
          <w:color w:val="auto"/>
        </w:rPr>
      </w:pPr>
      <w:r>
        <w:rPr>
          <w:rFonts w:ascii="Times New Roman" w:cs="Times New Roman" w:eastAsia="Times New Roman" w:hAnsi="Times New Roman"/>
          <w:sz w:val="19"/>
          <w:szCs w:val="19"/>
          <w:color w:val="auto"/>
        </w:rPr>
        <w:t>If any such undesirable side effects or unexpected characteristics are observed, our clinical trials could be suspended or terminated. If we cannot demonstrate that any adverse events observed in clinical trials were not caused by the product candidate, the FDA, MHRA, EMA or comparable foreign regulatory authorities or an IRB may also require that we suspend, discontinue, or limit our clinical trials based on safety information, or that we conduct additional animal or human studies regarding the safety and efficacy of such product candidates which we have not planned or anticipated. Such findings could further result in regulatory authorities failing to provide marketing authorization for such product candidates or limiting the scope of the approved indication, if approved.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such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0"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20"/>
          <w:szCs w:val="20"/>
          <w:color w:val="auto"/>
        </w:rPr>
        <w:t>Additionally, if one or more of the product candidates we may seek to develop receives marketing approval, and we or others identify undesirable side effects caused by such products, a number of potentially significant negative consequences could result, including:</w:t>
      </w:r>
    </w:p>
    <w:p>
      <w:pPr>
        <w:sectPr>
          <w:pgSz w:w="12240" w:h="15840" w:orient="portrait"/>
          <w:cols w:equalWidth="0" w:num="1">
            <w:col w:w="9360"/>
          </w:cols>
          <w:pgMar w:left="1440" w:top="1378" w:right="1440" w:bottom="892" w:gutter="0" w:footer="0" w:header="0"/>
        </w:sectPr>
      </w:pPr>
    </w:p>
    <w:bookmarkStart w:id="29" w:name="page30"/>
    <w:bookmarkEnd w:id="29"/>
    <w:p>
      <w:pPr>
        <w:ind w:left="1260" w:right="760" w:hanging="720"/>
        <w:spacing w:after="0" w:line="281" w:lineRule="auto"/>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suspend, withdraw or limit approvals of such product, or seek an injunction against its manufacture or distribution;</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w:t>
      </w:r>
    </w:p>
    <w:p>
      <w:pPr>
        <w:spacing w:after="0" w:line="130" w:lineRule="exact"/>
        <w:rPr>
          <w:rFonts w:ascii="Times New Roman" w:cs="Times New Roman" w:eastAsia="Times New Roman" w:hAnsi="Times New Roman"/>
          <w:sz w:val="20"/>
          <w:szCs w:val="20"/>
          <w:color w:val="auto"/>
        </w:rPr>
      </w:pPr>
    </w:p>
    <w:p>
      <w:pPr>
        <w:ind w:left="1260" w:right="860" w:hanging="720"/>
        <w:spacing w:after="0" w:line="281" w:lineRule="auto"/>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create a medication guide outlining the risks of such side effects for distribution to patients or other requirements subject to a REMS;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a product is administered or conduct additional trials;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to remove the product from the market;</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achieve or maintain third-party payor coverage and adequate reimbursement;</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fines, injunctions or the imposition of civil or criminal penalties; and</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and physician or patient acceptance of our products may suffer.</w:t>
      </w:r>
    </w:p>
    <w:p>
      <w:pPr>
        <w:spacing w:after="0" w:line="210"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20"/>
          <w:szCs w:val="20"/>
          <w:color w:val="auto"/>
        </w:rPr>
        <w:t>There can be no assurance that we will resolve any issues related to any product-related adverse events to the satisfaction of the FDA or comparable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54" w:lineRule="exact"/>
        <w:rPr>
          <w:sz w:val="20"/>
          <w:szCs w:val="20"/>
          <w:color w:val="auto"/>
        </w:rPr>
      </w:pPr>
    </w:p>
    <w:p>
      <w:pPr>
        <w:ind w:left="480"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a company, we do not have experience completing clinical trials and may be unable to complete clinical trials for any product candidates we may develop.</w:t>
      </w:r>
    </w:p>
    <w:p>
      <w:pPr>
        <w:spacing w:after="0" w:line="137" w:lineRule="exact"/>
        <w:rPr>
          <w:sz w:val="20"/>
          <w:szCs w:val="20"/>
          <w:color w:val="auto"/>
        </w:rPr>
      </w:pPr>
    </w:p>
    <w:p>
      <w:pPr>
        <w:jc w:val="both"/>
        <w:ind w:right="80" w:firstLine="450"/>
        <w:spacing w:after="0" w:line="257" w:lineRule="auto"/>
        <w:rPr>
          <w:sz w:val="20"/>
          <w:szCs w:val="20"/>
          <w:color w:val="auto"/>
        </w:rPr>
      </w:pPr>
      <w:r>
        <w:rPr>
          <w:rFonts w:ascii="Times New Roman" w:cs="Times New Roman" w:eastAsia="Times New Roman" w:hAnsi="Times New Roman"/>
          <w:sz w:val="20"/>
          <w:szCs w:val="20"/>
          <w:color w:val="auto"/>
        </w:rPr>
        <w:t>We are early in our efforts to potentially license or otherwise acquire in new product candidates and will need to, among other things, successfully complete clinical trials, including pivotal clinical trials, in order to obtain FDA, MHRA, EMA or comparable foreign regulatory authorities’ approval to market any such product candidates.</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Carrying out clinical trials and the submission of a successful NDA, BLA or MAA is a complicated process. We have no experience completing any clinical trial, have limited experience in preparing regulatory submissions and have not previously submitted an NDA, BLA or MAA for any product candidate. Consequently, we may be unable to successfully and efficiently execute and complete necessary clinical trials in a way that leads to submission of the applicable regulatory applications and approval of any product candidate. We may require more time and incur greater costs than our potential competitors and may not succeed in obtaining regulatory approvals of any product candidate that we seek to develop. Failure to commence or complete, or delays in, clinical trials could prevent us from or delay us in commercializing any product candidate.</w:t>
      </w:r>
    </w:p>
    <w:p>
      <w:pPr>
        <w:spacing w:after="0" w:line="166" w:lineRule="exact"/>
        <w:rPr>
          <w:sz w:val="20"/>
          <w:szCs w:val="20"/>
          <w:color w:val="auto"/>
        </w:rPr>
      </w:pPr>
    </w:p>
    <w:p>
      <w:pPr>
        <w:ind w:left="480"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137"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20"/>
          <w:szCs w:val="20"/>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the product candidates we may seek to develop, or approved products for the conditions for which we may seek to develop product candidates.</w:t>
      </w:r>
    </w:p>
    <w:p>
      <w:pPr>
        <w:spacing w:after="0" w:line="168"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comparable foreign regulatory authorities. We cannot predict how successful we will be at enrolling subjects in future clinical trials. Subject enrollment is affected by other factors including:</w:t>
      </w:r>
    </w:p>
    <w:p>
      <w:pPr>
        <w:spacing w:after="0" w:line="164" w:lineRule="exact"/>
        <w:rPr>
          <w:sz w:val="20"/>
          <w:szCs w:val="20"/>
          <w:color w:val="auto"/>
        </w:rPr>
      </w:pPr>
    </w:p>
    <w:p>
      <w:pPr>
        <w:ind w:left="1260" w:hanging="720"/>
        <w:spacing w:after="0"/>
        <w:tabs>
          <w:tab w:leader="none" w:pos="12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severity and difficulty of diagnosing the disease under investigation;</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eligibility and exclusion criteria for the trial in question;</w:t>
      </w:r>
    </w:p>
    <w:p>
      <w:pPr>
        <w:sectPr>
          <w:pgSz w:w="12240" w:h="15840" w:orient="portrait"/>
          <w:cols w:equalWidth="0" w:num="1">
            <w:col w:w="9360"/>
          </w:cols>
          <w:pgMar w:left="1440" w:top="1378" w:right="1440" w:bottom="1107" w:gutter="0" w:footer="0" w:header="0"/>
        </w:sectPr>
      </w:pPr>
    </w:p>
    <w:bookmarkStart w:id="30" w:name="page31"/>
    <w:bookmarkEnd w:id="30"/>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of the patient population and process for identifying patients;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 of the trial protocol;</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perceived risks and benefits of the product candidate in the trial;</w:t>
      </w:r>
    </w:p>
    <w:p>
      <w:pPr>
        <w:spacing w:after="0" w:line="130" w:lineRule="exact"/>
        <w:rPr>
          <w:rFonts w:ascii="Times New Roman" w:cs="Times New Roman" w:eastAsia="Times New Roman" w:hAnsi="Times New Roman"/>
          <w:sz w:val="20"/>
          <w:szCs w:val="20"/>
          <w:color w:val="auto"/>
        </w:rPr>
      </w:pPr>
    </w:p>
    <w:p>
      <w:pPr>
        <w:ind w:left="1260" w:right="480" w:hanging="720"/>
        <w:spacing w:after="0" w:line="281" w:lineRule="auto"/>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competing commercially available therapies and other competing therapeutic candidates’ clinical trials for the disease or condition under investigation;</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patients to be enrolled in our clinical trials;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efforts to facilitate timely enrollment in clinical trials;</w:t>
      </w:r>
    </w:p>
    <w:p>
      <w:pPr>
        <w:spacing w:after="0" w:line="130" w:lineRule="exact"/>
        <w:rPr>
          <w:rFonts w:ascii="Times New Roman" w:cs="Times New Roman" w:eastAsia="Times New Roman" w:hAnsi="Times New Roman"/>
          <w:sz w:val="20"/>
          <w:szCs w:val="20"/>
          <w:color w:val="auto"/>
        </w:rPr>
      </w:pPr>
    </w:p>
    <w:p>
      <w:pPr>
        <w:ind w:left="1260" w:right="40" w:hanging="720"/>
        <w:spacing w:after="0" w:line="266" w:lineRule="auto"/>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disruptions caused by disease outbreaks, epidemics and pandemics, including difficulties in initiating clinical sites, enrolling and retaining participants, diversion of healthcare resources away from clinical trials, travel or quarantine policies that may be implemented, and other factors;</w:t>
      </w:r>
    </w:p>
    <w:p>
      <w:pPr>
        <w:spacing w:after="0" w:line="75"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 referral practices of physicians;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monitor patients adequately during and after treatment; and</w:t>
      </w:r>
    </w:p>
    <w:p>
      <w:pPr>
        <w:spacing w:after="0" w:line="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proximity and availability of clinical trial sites for prospective patients.</w:t>
      </w:r>
    </w:p>
    <w:p>
      <w:pPr>
        <w:spacing w:after="0" w:line="19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any clinical trials that we conduct and we will have limited influence over their performance.</w:t>
      </w:r>
    </w:p>
    <w:p>
      <w:pPr>
        <w:spacing w:after="0" w:line="168" w:lineRule="exact"/>
        <w:rPr>
          <w:sz w:val="20"/>
          <w:szCs w:val="20"/>
          <w:color w:val="auto"/>
        </w:rPr>
      </w:pPr>
    </w:p>
    <w:p>
      <w:pPr>
        <w:ind w:right="160" w:firstLine="450"/>
        <w:spacing w:after="0" w:line="281" w:lineRule="auto"/>
        <w:rPr>
          <w:sz w:val="20"/>
          <w:szCs w:val="20"/>
          <w:color w:val="auto"/>
        </w:rPr>
      </w:pPr>
      <w:r>
        <w:rPr>
          <w:rFonts w:ascii="Times New Roman" w:cs="Times New Roman" w:eastAsia="Times New Roman" w:hAnsi="Times New Roman"/>
          <w:sz w:val="20"/>
          <w:szCs w:val="20"/>
          <w:color w:val="auto"/>
        </w:rPr>
        <w:t>Furthermore, even if we are able to enroll a sufficient number of patients for any clinical trials which we may conduct, we may have difficulty maintaining enrollment of such patients in our clinical trials.</w:t>
      </w:r>
    </w:p>
    <w:p>
      <w:pPr>
        <w:spacing w:after="0" w:line="132" w:lineRule="exact"/>
        <w:rPr>
          <w:sz w:val="20"/>
          <w:szCs w:val="20"/>
          <w:color w:val="auto"/>
        </w:rPr>
      </w:pPr>
    </w:p>
    <w:p>
      <w:pPr>
        <w:ind w:left="480" w:right="2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pursue other more promising product candidates or indications that may be more profitable or for which there is a greater likelihood of success.</w:t>
      </w:r>
    </w:p>
    <w:p>
      <w:pPr>
        <w:spacing w:after="0" w:line="156"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Because we have limited financial and management resources, we must focus on licensing, acquiring or investing in potential product candidates that we identify for specific indications within a certain price range. As a result, we may forego or delay pursuing opportunities with other product candidates or for other indications that later prove to have greater commercial potential. Our resource allocation decisions may cause us to fail to capitalize on viable products or profitable market opportunities. Any spending on future development programs and product candidates for specific indications may not yield any commercially viable products. For example, in the second half of 2024 and throughout 2025, our strategy prioritized development of AXN-2510, which we discontinued in January 2026, and prior to that our strategy prioritized development of TIL cell therapy products. Further,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2" w:lineRule="exact"/>
        <w:rPr>
          <w:sz w:val="20"/>
          <w:szCs w:val="20"/>
          <w:color w:val="auto"/>
        </w:rPr>
      </w:pPr>
    </w:p>
    <w:p>
      <w:pPr>
        <w:ind w:left="480"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achieve our plans and projected goals in the timeframes we announce, the trading price of our common stock may be negatively impacted.</w:t>
      </w:r>
    </w:p>
    <w:p>
      <w:pPr>
        <w:spacing w:after="0" w:line="137"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From time to time, we may estimate the timing of the accomplishment of various business development, scientific, clinical, regulatory or other goals, which we sometimes refer to as milestones. These milestones may include the commencement or completion of, or availability of data from, preclinical studies and clinical trials and the submission of regulatory filings, or business development activities. From time to time, we may publicly announce the expected timing of some of these milestones. All of these milestones are, and will be, based on a</w:t>
      </w:r>
    </w:p>
    <w:p>
      <w:pPr>
        <w:sectPr>
          <w:pgSz w:w="12240" w:h="15840" w:orient="portrait"/>
          <w:cols w:equalWidth="0" w:num="1">
            <w:col w:w="9360"/>
          </w:cols>
          <w:pgMar w:left="1440" w:top="1378" w:right="1440" w:bottom="1020" w:gutter="0" w:footer="0" w:header="0"/>
        </w:sectPr>
      </w:pPr>
    </w:p>
    <w:bookmarkStart w:id="31" w:name="page32"/>
    <w:bookmarkEnd w:id="31"/>
    <w:p>
      <w:pPr>
        <w:ind w:right="240"/>
        <w:spacing w:after="0" w:line="258" w:lineRule="auto"/>
        <w:rPr>
          <w:sz w:val="20"/>
          <w:szCs w:val="20"/>
          <w:color w:val="auto"/>
        </w:rPr>
      </w:pPr>
      <w:r>
        <w:rPr>
          <w:rFonts w:ascii="Times New Roman" w:cs="Times New Roman" w:eastAsia="Times New Roman" w:hAnsi="Times New Roman"/>
          <w:sz w:val="20"/>
          <w:szCs w:val="20"/>
          <w:color w:val="auto"/>
        </w:rPr>
        <w:t>variety of assumptions. The actual timing of these milestones can vary significantly compared to our estimates, in some cases for reasons beyond our control. We may experience numerous unforeseen events that could delay or prevent our ability to achieve our goals and meet any projected milestones. In addition, failure to meet projected milestones may negatively impact the trading price of our common stock and our ability to raise additional capital on attractive terms or at 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Manufacturing of Product Candidates</w:t>
      </w:r>
    </w:p>
    <w:p>
      <w:pPr>
        <w:spacing w:after="0" w:line="208"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Therapeutic product candidates can be complex and difficult to manufacture. We intend to rely on third parties to produce clinical supply of any product candidate we may seek to develop and commercial supplies of any approved product. This reliance on third parties increases the risk that we will not have sufficient quantities of product candidates or any approved products or such quantities at an acceptable cost or quality, which could delay, prevent or impair our development or commercialization efforts.</w:t>
      </w:r>
    </w:p>
    <w:p>
      <w:pPr>
        <w:spacing w:after="0" w:line="168"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We expect to rely on third parties to manufacture and to perform quality testing for any product candidate we may license or otherwise acquire and seek to develop. Reliance on third parties exposes us to risks associated with having minimal control over manufacturing activities, and any disruptions to the operations of our third-party manufacturers, including those caused by conditions unrelated to our business or operations such as bankruptcy of the manufacturer, could materially and adversely affect our business.</w:t>
      </w:r>
    </w:p>
    <w:p>
      <w:pPr>
        <w:spacing w:after="0" w:line="16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We do not operate manufacturing facilities for the production of clinical or commercial supplies of any product candidates and currently have no supply agreements for the production of any product candidates. We have no personnel with expertise in manufacturing product candidates and lack the resources and the capabilities to manufacture product candidates on any scale, including clinical or commercial scale. We currently plan to rely on third parties for supply of product candidates we may license or otherwise acquire and seek to develop and for commercial supply if any of such product candidates are approved for sale.</w:t>
      </w:r>
    </w:p>
    <w:p>
      <w:pPr>
        <w:spacing w:after="0" w:line="168"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20"/>
          <w:szCs w:val="20"/>
          <w:color w:val="auto"/>
        </w:rPr>
        <w:t>If we seek to develop any product candidate, we will need to secure supply agreements with third-party manufacturers for development, validation and manufacturing of such products candidates. We may be unable to secure agreements for clinical or commercial supply with third-party manufacturers, or may be unable to do so on acceptable terms. The third-party manufacturers may not successfully carry out their contractual duties or obligations, the occurrence 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product candidates or any approved products.</w:t>
      </w:r>
    </w:p>
    <w:p>
      <w:pPr>
        <w:spacing w:after="0" w:line="169"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Even if we are able to establish and maintain arrangements with third-party manufacturers, reliance on third-party manufacturers, entails additional risks, including:</w:t>
      </w:r>
    </w:p>
    <w:p>
      <w:pPr>
        <w:spacing w:after="0" w:line="141" w:lineRule="exact"/>
        <w:rPr>
          <w:sz w:val="20"/>
          <w:szCs w:val="20"/>
          <w:color w:val="auto"/>
        </w:rPr>
      </w:pPr>
    </w:p>
    <w:p>
      <w:pPr>
        <w:ind w:left="1260" w:hanging="72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diversion of manufacturing capacity to other customers by the third party;</w:t>
      </w:r>
    </w:p>
    <w:p>
      <w:pPr>
        <w:spacing w:after="0" w:line="130" w:lineRule="exact"/>
        <w:rPr>
          <w:rFonts w:ascii="Times New Roman" w:cs="Times New Roman" w:eastAsia="Times New Roman" w:hAnsi="Times New Roman"/>
          <w:sz w:val="20"/>
          <w:szCs w:val="20"/>
          <w:color w:val="auto"/>
        </w:rPr>
      </w:pPr>
    </w:p>
    <w:p>
      <w:pPr>
        <w:ind w:left="1260" w:right="160" w:hanging="72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and</w:t>
      </w:r>
    </w:p>
    <w:p>
      <w:pPr>
        <w:spacing w:after="0" w:line="61" w:lineRule="exact"/>
        <w:rPr>
          <w:rFonts w:ascii="Times New Roman" w:cs="Times New Roman" w:eastAsia="Times New Roman" w:hAnsi="Times New Roman"/>
          <w:sz w:val="20"/>
          <w:szCs w:val="20"/>
          <w:color w:val="auto"/>
        </w:rPr>
      </w:pPr>
    </w:p>
    <w:p>
      <w:pPr>
        <w:ind w:left="1260" w:right="80" w:hanging="72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61" w:lineRule="exact"/>
        <w:rPr>
          <w:sz w:val="20"/>
          <w:szCs w:val="20"/>
          <w:color w:val="auto"/>
        </w:rPr>
      </w:pPr>
    </w:p>
    <w:p>
      <w:pPr>
        <w:jc w:val="both"/>
        <w:ind w:right="280" w:firstLine="450"/>
        <w:spacing w:after="0" w:line="278" w:lineRule="auto"/>
        <w:rPr>
          <w:sz w:val="20"/>
          <w:szCs w:val="20"/>
          <w:color w:val="auto"/>
        </w:rPr>
      </w:pPr>
      <w:r>
        <w:rPr>
          <w:rFonts w:ascii="Times New Roman" w:cs="Times New Roman" w:eastAsia="Times New Roman" w:hAnsi="Times New Roman"/>
          <w:sz w:val="19"/>
          <w:szCs w:val="19"/>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w:t>
      </w:r>
    </w:p>
    <w:p>
      <w:pPr>
        <w:sectPr>
          <w:pgSz w:w="12240" w:h="15840" w:orient="portrait"/>
          <w:cols w:equalWidth="0" w:num="1">
            <w:col w:w="9360"/>
          </w:cols>
          <w:pgMar w:left="1440" w:top="1378" w:right="1440" w:bottom="1440" w:gutter="0" w:footer="0" w:header="0"/>
        </w:sectPr>
      </w:pPr>
    </w:p>
    <w:bookmarkStart w:id="32" w:name="page33"/>
    <w:bookmarkEnd w:id="32"/>
    <w:p>
      <w:pPr>
        <w:ind w:right="420"/>
        <w:spacing w:after="0" w:line="281" w:lineRule="auto"/>
        <w:rPr>
          <w:sz w:val="20"/>
          <w:szCs w:val="20"/>
          <w:color w:val="auto"/>
        </w:rPr>
      </w:pPr>
      <w:r>
        <w:rPr>
          <w:rFonts w:ascii="Times New Roman" w:cs="Times New Roman" w:eastAsia="Times New Roman" w:hAnsi="Times New Roman"/>
          <w:sz w:val="20"/>
          <w:szCs w:val="20"/>
          <w:color w:val="auto"/>
        </w:rPr>
        <w:t>products, operating restrictions and criminal prosecutions, any of which could significantly and adversely affect supplies of our product candidates.</w:t>
      </w:r>
    </w:p>
    <w:p>
      <w:pPr>
        <w:spacing w:after="0" w:line="141" w:lineRule="exact"/>
        <w:rPr>
          <w:sz w:val="20"/>
          <w:szCs w:val="20"/>
          <w:color w:val="auto"/>
        </w:rPr>
      </w:pPr>
    </w:p>
    <w:p>
      <w:pPr>
        <w:ind w:right="240" w:firstLine="450"/>
        <w:spacing w:after="0" w:line="256" w:lineRule="auto"/>
        <w:rPr>
          <w:sz w:val="20"/>
          <w:szCs w:val="20"/>
          <w:color w:val="auto"/>
        </w:rPr>
      </w:pPr>
      <w:r>
        <w:rPr>
          <w:rFonts w:ascii="Times New Roman" w:cs="Times New Roman" w:eastAsia="Times New Roman" w:hAnsi="Times New Roman"/>
          <w:sz w:val="20"/>
          <w:szCs w:val="20"/>
          <w:color w:val="auto"/>
        </w:rPr>
        <w:t>Any product candidates and products that we may develop may compete with other product candidates and products for access to manufacturing facilities. There are a limited number of manufacturers that operate under cGMP regulations and that might be capable of manufacturing for us. In addition, in order to conduct late-stage clinical trials of any product candidates we may seek to develop, we will need to have them manufactured in large quantities. Third-party manufacturers that we engage, may be unable to successfully increase the manufacturing capacity for any of our product candidates in a timely or cost-effective manner, or at all.</w:t>
      </w:r>
    </w:p>
    <w:p>
      <w:pPr>
        <w:spacing w:after="0" w:line="168"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Moreover, if third-party manufacturers that we engage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63"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20"/>
          <w:szCs w:val="20"/>
          <w:color w:val="auto"/>
        </w:rPr>
        <w:t>If the third parties that we engage to manufacture product for any preclinical tests and/or clinical trials that we may seek to conduct should cease to continue to do so for any reason, we likely would experience delays in advancing these clinical trials while we identify and qualify replacement suppliers, and we may be unable to obtain replacement supplies on terms that are favorable to us. In addition, if we are not able to obtain adequate supplies of product candidates we may seek to develop or the drug substances used to manufacture them, it will be more difficult for us to develop such product candidates and compete effectively.</w:t>
      </w:r>
    </w:p>
    <w:p>
      <w:pPr>
        <w:spacing w:after="0" w:line="159" w:lineRule="exact"/>
        <w:rPr>
          <w:sz w:val="20"/>
          <w:szCs w:val="20"/>
          <w:color w:val="auto"/>
        </w:rPr>
      </w:pPr>
    </w:p>
    <w:p>
      <w:pPr>
        <w:ind w:left="480"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third-party manufacturers for any product candidate we seek to develop divert their capacity and/or supply of materials needed for such product candidates, our ability to complete clinical trials or eventually bring product candidates to market may be compromised.</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expect to rely on third party manufacturers for any product candidates we may develop.</w:t>
      </w:r>
    </w:p>
    <w:p>
      <w:pPr>
        <w:spacing w:after="0" w:line="21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Our expected reliance on third party manufacturers will expose us to the risk that such manufacturers may divert their capacity and/or supply of materials needed for any product candidates we may seek to develop, compromising our ability to complete clinical trials or commercialize such product candidates. Large pharmaceutical companies with greater resources, either through acquisitions, market consolidation or otherwise, may be able to obtain privileged access to manufacturing capacity and/or supply of material needed for the manufacture of such product candidates. If our competitors are able to use their resources to secure preferential access to the supply capacity of third party manufacturers, or if third party manufacturers elect to terminate their contracts with us in favor of exclusive contracts with other larger pharmaceutical companies, our ability to obtain a supply of any product candidates we may seek to develop may be impacted resulting in significant delays and higher costs for development and commercialization of such product candidates</w:t>
      </w:r>
    </w:p>
    <w:p>
      <w:pPr>
        <w:spacing w:after="0" w:line="166" w:lineRule="exact"/>
        <w:rPr>
          <w:sz w:val="20"/>
          <w:szCs w:val="20"/>
          <w:color w:val="auto"/>
        </w:rPr>
      </w:pPr>
    </w:p>
    <w:p>
      <w:pPr>
        <w:ind w:left="480"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methods of product candidate manufacturing or formulation may result in additional costs or delay.</w:t>
      </w:r>
    </w:p>
    <w:p>
      <w:pPr>
        <w:spacing w:after="0" w:line="137"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product candidates we seek to develop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ectPr>
          <w:pgSz w:w="12240" w:h="15840" w:orient="portrait"/>
          <w:cols w:equalWidth="0" w:num="1">
            <w:col w:w="9360"/>
          </w:cols>
          <w:pgMar w:left="1440" w:top="1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Product Candidates</w:t>
      </w:r>
    </w:p>
    <w:p>
      <w:pPr>
        <w:spacing w:after="0" w:line="208" w:lineRule="exact"/>
        <w:rPr>
          <w:sz w:val="20"/>
          <w:szCs w:val="20"/>
          <w:color w:val="auto"/>
        </w:rPr>
      </w:pPr>
    </w:p>
    <w:p>
      <w:pPr>
        <w:ind w:left="480"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Even if any product candidates we may seek to develop receive marketing approval, they may fail to achieve the degree of market acceptance by physicians, patients, third-party payors and others in the medical community necessary for commercial success.</w:t>
      </w:r>
    </w:p>
    <w:p>
      <w:pPr>
        <w:spacing w:after="0" w:line="156"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If any product candidates we may seek to develop receive marketing approval, they may nonetheless fail to gain sufficient market acceptance by physicians, patients, third-party payors and others in the medical community. If such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64" w:lineRule="exact"/>
        <w:rPr>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safety and potential advantages compared to alternative treatments;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offer our products for sale at competitive prices;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convenience and ease of administration compared to alternative treatments;</w:t>
      </w:r>
    </w:p>
    <w:p>
      <w:pPr>
        <w:spacing w:after="0" w:line="130" w:lineRule="exact"/>
        <w:rPr>
          <w:rFonts w:ascii="Times New Roman" w:cs="Times New Roman" w:eastAsia="Times New Roman" w:hAnsi="Times New Roman"/>
          <w:sz w:val="20"/>
          <w:szCs w:val="20"/>
          <w:color w:val="auto"/>
        </w:rPr>
      </w:pPr>
    </w:p>
    <w:p>
      <w:pPr>
        <w:ind w:left="1260" w:right="460" w:hanging="720"/>
        <w:spacing w:after="0" w:line="266"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labeling or product insert requirements of the FDA, MHRA, EMA or other comparable foreign regulatory authorities, including any limitations or warnings contained in a product’s approved labeling, including any black box warning or REMS;</w:t>
      </w:r>
    </w:p>
    <w:p>
      <w:pPr>
        <w:spacing w:after="0" w:line="75" w:lineRule="exact"/>
        <w:rPr>
          <w:rFonts w:ascii="Times New Roman" w:cs="Times New Roman" w:eastAsia="Times New Roman" w:hAnsi="Times New Roman"/>
          <w:sz w:val="20"/>
          <w:szCs w:val="20"/>
          <w:color w:val="auto"/>
        </w:rPr>
      </w:pPr>
    </w:p>
    <w:p>
      <w:pPr>
        <w:ind w:left="1260" w:right="200" w:hanging="720"/>
        <w:spacing w:after="0" w:line="281"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new treatments and of physicians to prescribe these treatments;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hire and retain a sales force;</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130" w:lineRule="exact"/>
        <w:rPr>
          <w:rFonts w:ascii="Times New Roman" w:cs="Times New Roman" w:eastAsia="Times New Roman" w:hAnsi="Times New Roman"/>
          <w:sz w:val="20"/>
          <w:szCs w:val="20"/>
          <w:color w:val="auto"/>
        </w:rPr>
      </w:pPr>
    </w:p>
    <w:p>
      <w:pPr>
        <w:ind w:left="1260" w:right="40" w:hanging="720"/>
        <w:spacing w:after="0" w:line="281"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third-party coverage and adequate reimbursement for our product candidates, once approved;</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 and</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on the use of our products together with other medications.</w:t>
      </w:r>
    </w:p>
    <w:p>
      <w:pPr>
        <w:spacing w:after="0" w:line="201" w:lineRule="exact"/>
        <w:rPr>
          <w:sz w:val="20"/>
          <w:szCs w:val="20"/>
          <w:color w:val="auto"/>
        </w:rPr>
      </w:pPr>
    </w:p>
    <w:p>
      <w:pPr>
        <w:jc w:val="both"/>
        <w:ind w:left="480"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marketing and distribution capabilities for any product candidate that may receive regulatory approval, we may not be successful in commercializing those product candidates if and when they are approved.</w:t>
      </w:r>
    </w:p>
    <w:p>
      <w:pPr>
        <w:spacing w:after="0" w:line="156"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We do not have sales or marketing infrastructure. To achieve commercial success for any product candidate for which we may obtain marketing approval, we will need to establish a sales and marketing organization. In the future, we may seek to build a focused sales and marketing infrastructure to market product candidates in the United States,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Factors that may inhibit our efforts to market our products on our own include:</w:t>
      </w:r>
    </w:p>
    <w:p>
      <w:pPr>
        <w:spacing w:after="0" w:line="210" w:lineRule="exact"/>
        <w:rPr>
          <w:sz w:val="20"/>
          <w:szCs w:val="20"/>
          <w:color w:val="auto"/>
        </w:rPr>
      </w:pPr>
    </w:p>
    <w:p>
      <w:pPr>
        <w:ind w:left="1260" w:hanging="720"/>
        <w:spacing w:after="0"/>
        <w:tabs>
          <w:tab w:leader="none" w:pos="12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20"/>
          <w:szCs w:val="20"/>
          <w:color w:val="auto"/>
        </w:rPr>
      </w:pPr>
    </w:p>
    <w:p>
      <w:pPr>
        <w:ind w:left="1260" w:right="320" w:hanging="720"/>
        <w:spacing w:after="0" w:line="281" w:lineRule="auto"/>
        <w:tabs>
          <w:tab w:leader="none" w:pos="12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physicians in order to educate physicians about our product candidates, once approved;</w:t>
      </w:r>
    </w:p>
    <w:p>
      <w:pPr>
        <w:spacing w:after="0" w:line="61" w:lineRule="exact"/>
        <w:rPr>
          <w:rFonts w:ascii="Times New Roman" w:cs="Times New Roman" w:eastAsia="Times New Roman" w:hAnsi="Times New Roman"/>
          <w:sz w:val="20"/>
          <w:szCs w:val="20"/>
          <w:color w:val="auto"/>
        </w:rPr>
      </w:pPr>
    </w:p>
    <w:p>
      <w:pPr>
        <w:ind w:left="1260" w:right="800" w:hanging="720"/>
        <w:spacing w:after="0" w:line="281" w:lineRule="auto"/>
        <w:tabs>
          <w:tab w:leader="none" w:pos="12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ectPr>
          <w:pgSz w:w="12240" w:h="15840" w:orient="portrait"/>
          <w:cols w:equalWidth="0" w:num="1">
            <w:col w:w="9360"/>
          </w:cols>
          <w:pgMar w:left="1440" w:top="1371" w:right="1440" w:bottom="1440" w:gutter="0" w:footer="0" w:header="0"/>
        </w:sectPr>
      </w:pPr>
    </w:p>
    <w:bookmarkStart w:id="34" w:name="page35"/>
    <w:bookmarkEnd w:id="34"/>
    <w:p>
      <w:pPr>
        <w:ind w:left="1260" w:right="800" w:hanging="720"/>
        <w:spacing w:after="0" w:line="281" w:lineRule="auto"/>
        <w:tabs>
          <w:tab w:leader="none" w:pos="12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w:t>
      </w:r>
    </w:p>
    <w:p>
      <w:pPr>
        <w:spacing w:after="0" w:line="141"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20"/>
          <w:szCs w:val="20"/>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64" w:lineRule="exact"/>
        <w:rPr>
          <w:sz w:val="20"/>
          <w:szCs w:val="20"/>
          <w:color w:val="auto"/>
        </w:rPr>
      </w:pPr>
    </w:p>
    <w:p>
      <w:pPr>
        <w:ind w:left="480"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treatable populations for any product candidates we may seek to develop may be smaller than we or third parties currently project, which may affect the addressable markets for such product candidates.</w:t>
      </w:r>
    </w:p>
    <w:p>
      <w:pPr>
        <w:spacing w:after="0" w:line="137"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Any projections of the number of people who have the diseases we may seek to treat, as well as the subset of people with these diseases who have the potential to benefit from treatment with product candidates we may seek to develop, will be estimates based on our knowledge and understanding of these diseases. These estimates may prove to be incorrect and new studies may report lower incidence or prevalence estimates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any product candidates we seek to develop, the FDA or other regulators may limit their approved indications to more narrow uses or subpopulations within the populations for which we are targeting development of our product candidates.</w:t>
      </w:r>
    </w:p>
    <w:p>
      <w:pPr>
        <w:spacing w:after="0" w:line="176"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The total addressable market opportunity for any product candidates we may seek to develop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any incidence and prevalence estimates included in our filings with the Securities and Exchange Commission, or the SEC, or otherwise should be viewed with caution. Further, the data and statistical information used in our filings with the SEC and other presentations, including estimates derived from them, may differ from information and estimates made by our competitors or from current or future studies conducted by independent sources.</w:t>
      </w:r>
    </w:p>
    <w:p>
      <w:pPr>
        <w:spacing w:after="0" w:line="164" w:lineRule="exact"/>
        <w:rPr>
          <w:sz w:val="20"/>
          <w:szCs w:val="20"/>
          <w:color w:val="auto"/>
        </w:rPr>
      </w:pPr>
    </w:p>
    <w:p>
      <w:pPr>
        <w:ind w:left="460" w:right="2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Off-label use or misuse of any products we may seek to develop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56"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If any product candidates that we may seek to develop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that might require significant financial and management resources and that could harm our reputation.</w:t>
      </w:r>
    </w:p>
    <w:p>
      <w:pPr>
        <w:spacing w:after="0" w:line="176" w:lineRule="exact"/>
        <w:rPr>
          <w:sz w:val="20"/>
          <w:szCs w:val="20"/>
          <w:color w:val="auto"/>
        </w:rPr>
      </w:pPr>
    </w:p>
    <w:p>
      <w:pPr>
        <w:ind w:right="140" w:firstLine="450"/>
        <w:spacing w:after="0" w:line="309" w:lineRule="auto"/>
        <w:rPr>
          <w:sz w:val="20"/>
          <w:szCs w:val="20"/>
          <w:color w:val="auto"/>
        </w:rPr>
      </w:pPr>
      <w:r>
        <w:rPr>
          <w:rFonts w:ascii="Times New Roman" w:cs="Times New Roman" w:eastAsia="Times New Roman" w:hAnsi="Times New Roman"/>
          <w:sz w:val="19"/>
          <w:szCs w:val="19"/>
          <w:color w:val="auto"/>
        </w:rPr>
        <w:t>Advertising and promotion of any product candidate that obtains approval in the United States will be heavily scrutinized by the FDA, the U.S. Federal Trade Commission, the Department of Justice, or the DOJ, the Office of</w:t>
      </w:r>
    </w:p>
    <w:p>
      <w:pPr>
        <w:sectPr>
          <w:pgSz w:w="12240" w:h="15840" w:orient="portrait"/>
          <w:cols w:equalWidth="0" w:num="1">
            <w:col w:w="9360"/>
          </w:cols>
          <w:pgMar w:left="1440" w:top="1378" w:right="1440" w:bottom="895" w:gutter="0" w:footer="0" w:header="0"/>
        </w:sectPr>
      </w:pPr>
    </w:p>
    <w:bookmarkStart w:id="35" w:name="page36"/>
    <w:bookmarkEnd w:id="35"/>
    <w:p>
      <w:pPr>
        <w:jc w:val="both"/>
        <w:ind w:right="80"/>
        <w:spacing w:after="0" w:line="271" w:lineRule="auto"/>
        <w:rPr>
          <w:sz w:val="20"/>
          <w:szCs w:val="20"/>
          <w:color w:val="auto"/>
        </w:rPr>
      </w:pPr>
      <w:r>
        <w:rPr>
          <w:rFonts w:ascii="Times New Roman" w:cs="Times New Roman" w:eastAsia="Times New Roman" w:hAnsi="Times New Roman"/>
          <w:sz w:val="19"/>
          <w:szCs w:val="19"/>
          <w:color w:val="auto"/>
        </w:rPr>
        <w:t>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w:t>
      </w:r>
    </w:p>
    <w:p>
      <w:pPr>
        <w:ind w:right="60"/>
        <w:spacing w:after="0" w:line="253" w:lineRule="auto"/>
        <w:rPr>
          <w:sz w:val="20"/>
          <w:szCs w:val="20"/>
          <w:color w:val="auto"/>
        </w:rPr>
      </w:pPr>
      <w:r>
        <w:rPr>
          <w:rFonts w:ascii="Times New Roman" w:cs="Times New Roman" w:eastAsia="Times New Roman" w:hAnsi="Times New Roman"/>
          <w:sz w:val="20"/>
          <w:szCs w:val="20"/>
          <w:color w:val="auto"/>
        </w:rPr>
        <w:t>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58" w:lineRule="exact"/>
        <w:rPr>
          <w:sz w:val="20"/>
          <w:szCs w:val="20"/>
          <w:color w:val="auto"/>
        </w:rPr>
      </w:pPr>
    </w:p>
    <w:p>
      <w:pPr>
        <w:ind w:left="500" w:right="3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potential competition from other biotechnology and pharmaceutical companies, and from non-profit institutions, which may result in others identifying, discovering, developing or commercializing products before or more successfully than we do.</w:t>
      </w:r>
    </w:p>
    <w:p>
      <w:pPr>
        <w:spacing w:after="0" w:line="156" w:lineRule="exact"/>
        <w:rPr>
          <w:sz w:val="20"/>
          <w:szCs w:val="20"/>
          <w:color w:val="auto"/>
        </w:rPr>
      </w:pPr>
    </w:p>
    <w:p>
      <w:pPr>
        <w:ind w:right="380" w:firstLine="450"/>
        <w:spacing w:after="0" w:line="260" w:lineRule="auto"/>
        <w:rPr>
          <w:sz w:val="20"/>
          <w:szCs w:val="20"/>
          <w:color w:val="auto"/>
        </w:rPr>
      </w:pPr>
      <w:r>
        <w:rPr>
          <w:rFonts w:ascii="Times New Roman" w:cs="Times New Roman" w:eastAsia="Times New Roman" w:hAnsi="Times New Roman"/>
          <w:sz w:val="20"/>
          <w:szCs w:val="20"/>
          <w:color w:val="auto"/>
        </w:rPr>
        <w:t>Drug development is highly competitive and subject to rapid and significant technological advancements. There are many large and small pharmaceutical companies focused on identifying, developing and delivering therapeutics in indications we might target. Further, it is likely that additional drugs will become available in the future for the treatment of any indications we may seek to target.</w:t>
      </w:r>
    </w:p>
    <w:p>
      <w:pPr>
        <w:spacing w:after="0" w:line="163" w:lineRule="exact"/>
        <w:rPr>
          <w:sz w:val="20"/>
          <w:szCs w:val="20"/>
          <w:color w:val="auto"/>
        </w:rPr>
      </w:pPr>
    </w:p>
    <w:p>
      <w:pPr>
        <w:ind w:right="460" w:firstLine="450"/>
        <w:spacing w:after="0" w:line="258" w:lineRule="auto"/>
        <w:rPr>
          <w:sz w:val="20"/>
          <w:szCs w:val="20"/>
          <w:color w:val="auto"/>
        </w:rPr>
      </w:pPr>
      <w:r>
        <w:rPr>
          <w:rFonts w:ascii="Times New Roman" w:cs="Times New Roman" w:eastAsia="Times New Roman" w:hAnsi="Times New Roman"/>
          <w:sz w:val="20"/>
          <w:szCs w:val="20"/>
          <w:color w:val="auto"/>
        </w:rPr>
        <w:t>Universities and public and private research institutions in the United States and Europe are also potential competitors. While these universities and public and private research institutions primarily have educational objectives, they may develop proprietary technologies that lead to FDA-approved therapies or secure patent protection that could compete with or we may need for the development of future technologies and product candidates.</w:t>
      </w:r>
    </w:p>
    <w:p>
      <w:pPr>
        <w:spacing w:after="0" w:line="16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20"/>
          <w:szCs w:val="20"/>
          <w:color w:val="auto"/>
        </w:rPr>
        <w:t>Many of our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potential future competitors may also have significantly more experience commercializing drugs. Mergers and acquisitions in the pharmaceutical and biotechnology industries could result in even more resources being concentrated among a small number of our potential competitors.</w:t>
      </w:r>
    </w:p>
    <w:p>
      <w:pPr>
        <w:spacing w:after="0" w:line="168"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We will face competition from other drugs or from other non-drug products currently approved or that will be approved in the future, including for the treatment of diseases and disorders in the therapeutic categories we may seek to target. Therefore, our ability to compete successfully will depend largely on our ability to:</w:t>
      </w:r>
    </w:p>
    <w:p>
      <w:pPr>
        <w:spacing w:after="0" w:line="155" w:lineRule="exact"/>
        <w:rPr>
          <w:sz w:val="20"/>
          <w:szCs w:val="20"/>
          <w:color w:val="auto"/>
        </w:rPr>
      </w:pPr>
    </w:p>
    <w:p>
      <w:pPr>
        <w:ind w:left="1260" w:hanging="72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commercialize drugs that are superior to other products in the market;</w:t>
      </w:r>
    </w:p>
    <w:p>
      <w:pPr>
        <w:spacing w:after="0" w:line="130" w:lineRule="exact"/>
        <w:rPr>
          <w:rFonts w:ascii="Times New Roman" w:cs="Times New Roman" w:eastAsia="Times New Roman" w:hAnsi="Times New Roman"/>
          <w:sz w:val="20"/>
          <w:szCs w:val="20"/>
          <w:color w:val="auto"/>
        </w:rPr>
      </w:pPr>
    </w:p>
    <w:p>
      <w:pPr>
        <w:ind w:left="1260" w:right="840" w:hanging="720"/>
        <w:spacing w:after="0" w:line="281" w:lineRule="auto"/>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demonstrate through clinical trials that product candidates that we may seek to develop are differentiated from existing and future therapies;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qualified scientific, product development and commercial personnel;</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patent or other proprietary protection for our medicines;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required regulatory approvals;</w:t>
      </w:r>
    </w:p>
    <w:p>
      <w:pPr>
        <w:spacing w:after="0" w:line="130" w:lineRule="exact"/>
        <w:rPr>
          <w:rFonts w:ascii="Times New Roman" w:cs="Times New Roman" w:eastAsia="Times New Roman" w:hAnsi="Times New Roman"/>
          <w:sz w:val="20"/>
          <w:szCs w:val="20"/>
          <w:color w:val="auto"/>
        </w:rPr>
      </w:pPr>
    </w:p>
    <w:p>
      <w:pPr>
        <w:ind w:left="1260" w:right="320" w:hanging="720"/>
        <w:spacing w:after="0" w:line="281" w:lineRule="auto"/>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coverage and adequate reimbursement from, and negotiate competitive pricing with, third-party payors; and</w:t>
      </w:r>
    </w:p>
    <w:p>
      <w:pPr>
        <w:spacing w:after="0" w:line="61" w:lineRule="exact"/>
        <w:rPr>
          <w:rFonts w:ascii="Times New Roman" w:cs="Times New Roman" w:eastAsia="Times New Roman" w:hAnsi="Times New Roman"/>
          <w:sz w:val="20"/>
          <w:szCs w:val="20"/>
          <w:color w:val="auto"/>
        </w:rPr>
      </w:pPr>
    </w:p>
    <w:p>
      <w:pPr>
        <w:ind w:left="1260" w:right="740" w:hanging="720"/>
        <w:spacing w:after="0" w:line="281" w:lineRule="auto"/>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collaborate with pharmaceutical companies and/or non-profit institutions in the discovery, development and commercialization of new medicines.</w:t>
      </w:r>
    </w:p>
    <w:p>
      <w:pPr>
        <w:spacing w:after="0" w:line="141"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The availability of competitors’ products could limit the demand, and the price we are able to charge, for any product candidate we seek to develop. The inability to compete with existing or subsequently introduced drugs would have an adverse impact on our business, financial condition and prospects.</w:t>
      </w:r>
    </w:p>
    <w:p>
      <w:pPr>
        <w:spacing w:after="0" w:line="155" w:lineRule="exact"/>
        <w:rPr>
          <w:sz w:val="20"/>
          <w:szCs w:val="20"/>
          <w:color w:val="auto"/>
        </w:rPr>
      </w:pPr>
    </w:p>
    <w:p>
      <w:pPr>
        <w:ind w:right="240" w:firstLine="450"/>
        <w:spacing w:after="0" w:line="309" w:lineRule="auto"/>
        <w:rPr>
          <w:sz w:val="20"/>
          <w:szCs w:val="20"/>
          <w:color w:val="auto"/>
        </w:rPr>
      </w:pPr>
      <w:r>
        <w:rPr>
          <w:rFonts w:ascii="Times New Roman" w:cs="Times New Roman" w:eastAsia="Times New Roman" w:hAnsi="Times New Roman"/>
          <w:sz w:val="19"/>
          <w:szCs w:val="19"/>
          <w:color w:val="auto"/>
        </w:rPr>
        <w:t>Established pharmaceutical companies may invest heavily to accelerate discovery and development of novel compounds or to in-license novel compounds that could make any product candidates we seek to develop less</w:t>
      </w:r>
    </w:p>
    <w:p>
      <w:pPr>
        <w:sectPr>
          <w:pgSz w:w="12240" w:h="15840" w:orient="portrait"/>
          <w:cols w:equalWidth="0" w:num="1">
            <w:col w:w="9360"/>
          </w:cols>
          <w:pgMar w:left="1440" w:top="1378" w:right="1440" w:bottom="935" w:gutter="0" w:footer="0" w:header="0"/>
        </w:sectPr>
      </w:pPr>
    </w:p>
    <w:bookmarkStart w:id="36" w:name="page37"/>
    <w:bookmarkEnd w:id="36"/>
    <w:p>
      <w:pPr>
        <w:ind w:right="140"/>
        <w:spacing w:after="0" w:line="258" w:lineRule="auto"/>
        <w:rPr>
          <w:sz w:val="20"/>
          <w:szCs w:val="20"/>
          <w:color w:val="auto"/>
        </w:rPr>
      </w:pPr>
      <w:r>
        <w:rPr>
          <w:rFonts w:ascii="Times New Roman" w:cs="Times New Roman" w:eastAsia="Times New Roman" w:hAnsi="Times New Roman"/>
          <w:sz w:val="20"/>
          <w:szCs w:val="20"/>
          <w:color w:val="auto"/>
        </w:rPr>
        <w:t>competitive. In addition, any new product that competes with an approved product must demonstrate compelling advantages in efficacy, convenience, tolerability and safety in order to overcome price competition and to be commercially successful. Accordingly, our potential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155" w:lineRule="exact"/>
        <w:rPr>
          <w:sz w:val="20"/>
          <w:szCs w:val="20"/>
          <w:color w:val="auto"/>
        </w:rPr>
      </w:pPr>
    </w:p>
    <w:p>
      <w:pPr>
        <w:ind w:left="500" w:right="7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success of any product candidates we seek to develop will depend significantly on coverage and adequate reimbursement or the willingness of patients to pay for these therapies.</w:t>
      </w:r>
    </w:p>
    <w:p>
      <w:pPr>
        <w:spacing w:after="0" w:line="137"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We believe our success depends on obtaining and maintaining coverage and adequate reimbursement for the product candidates we may seek to develop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78"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6" w:lineRule="exact"/>
        <w:rPr>
          <w:sz w:val="20"/>
          <w:szCs w:val="20"/>
          <w:color w:val="auto"/>
        </w:rPr>
      </w:pPr>
    </w:p>
    <w:p>
      <w:pPr>
        <w:ind w:right="40" w:firstLine="450"/>
        <w:spacing w:after="0" w:line="235" w:lineRule="auto"/>
        <w:rPr>
          <w:sz w:val="20"/>
          <w:szCs w:val="20"/>
          <w:color w:val="auto"/>
        </w:rPr>
      </w:pPr>
      <w:r>
        <w:rPr>
          <w:rFonts w:ascii="Times New Roman" w:cs="Times New Roman" w:eastAsia="Times New Roman" w:hAnsi="Times New Roman"/>
          <w:sz w:val="20"/>
          <w:szCs w:val="20"/>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In addition, the U.S. government, state legislatures and foreign governments have continued implementing cost-containment programs, including price controls, restrictions on coverage and reimbursement and requirements for substitution of generic products.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Additionally, we may also need to provide discounts to purchasers, private health plans or government healthcare programs. Our product candidates may nonetheless not be considered medically necessary or cost-effective.</w:t>
      </w:r>
    </w:p>
    <w:p>
      <w:pPr>
        <w:sectPr>
          <w:pgSz w:w="12240" w:h="15840" w:orient="portrait"/>
          <w:cols w:equalWidth="0" w:num="1">
            <w:col w:w="9360"/>
          </w:cols>
          <w:pgMar w:left="1440" w:top="1378" w:right="1440" w:bottom="913" w:gutter="0" w:footer="0" w:header="0"/>
        </w:sectPr>
      </w:pPr>
    </w:p>
    <w:bookmarkStart w:id="37" w:name="page38"/>
    <w:bookmarkEnd w:id="37"/>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 Further, coverage policies and third-party payor reimbursement rates may change at any time. Therefore, even if favorable coverage and reimbursement status is attained for one or more of our product candidates, if approved, less favorable coverage policies and reimbursement rates may be implemented in the future.</w:t>
      </w:r>
    </w:p>
    <w:p>
      <w:pPr>
        <w:spacing w:after="0" w:line="169"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20"/>
          <w:szCs w:val="20"/>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55"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There can be no assurance that any product candidates we seek to develop,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155" w:lineRule="exact"/>
        <w:rPr>
          <w:sz w:val="20"/>
          <w:szCs w:val="20"/>
          <w:color w:val="auto"/>
        </w:rPr>
      </w:pPr>
    </w:p>
    <w:p>
      <w:pPr>
        <w:ind w:left="460" w:right="1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to limit commercialization of any products that we may develop.</w:t>
      </w:r>
    </w:p>
    <w:p>
      <w:pPr>
        <w:spacing w:after="0" w:line="137"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of any product candidates we may seek to develop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164" w:lineRule="exact"/>
        <w:rPr>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any product candidates or drugs that we may develop;</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defend the related litigation;</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paid to trial participants or patients;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resources of our management to pursue our business strategy; and</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210"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Although we maintain product liability insurance coverage, such insurance may not be adequate to cover all liabilities that we could incur. We may need to increase our insurance coverage depending on the clinical development plans of any product candidates we may seek to develop or if we commence commercialization of any such product candidates. Insurance coverage is increasingly expensive. We may not be able to maintain insurance coverage at a reasonable cost or in an amount adequate to satisfy any liability that may arise.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08" w:lineRule="exact"/>
        <w:rPr>
          <w:sz w:val="20"/>
          <w:szCs w:val="20"/>
          <w:color w:val="auto"/>
        </w:rPr>
      </w:pPr>
    </w:p>
    <w:p>
      <w:pPr>
        <w:ind w:left="480"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intend to rely on third parties to conduct, supervise and monitor a significant portion of our research and preclinical testing and clinical trials for any product candidates we may seek to develop,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ectPr>
          <w:pgSz w:w="12240" w:h="15840" w:orient="portrait"/>
          <w:cols w:equalWidth="0" w:num="1">
            <w:col w:w="9360"/>
          </w:cols>
          <w:pgMar w:left="1440" w:top="1378" w:right="1440" w:bottom="863" w:gutter="0" w:footer="0" w:header="0"/>
        </w:sectPr>
      </w:pPr>
    </w:p>
    <w:bookmarkStart w:id="38" w:name="page39"/>
    <w:bookmarkEnd w:id="38"/>
    <w:p>
      <w:pPr>
        <w:ind w:right="80" w:firstLine="450"/>
        <w:spacing w:after="0" w:line="269" w:lineRule="auto"/>
        <w:rPr>
          <w:sz w:val="20"/>
          <w:szCs w:val="20"/>
          <w:color w:val="auto"/>
        </w:rPr>
      </w:pPr>
      <w:r>
        <w:rPr>
          <w:rFonts w:ascii="Times New Roman" w:cs="Times New Roman" w:eastAsia="Times New Roman" w:hAnsi="Times New Roman"/>
          <w:sz w:val="19"/>
          <w:szCs w:val="19"/>
          <w:color w:val="auto"/>
        </w:rPr>
        <w:t>We do not have a pre-clinical research or clinical operations team and intend to engage CROs and other third parties to conduct any preclinical studies and clinical trials and to monitor and manage data for any product candidates we may seek to develop. We intend to rely on third parties, including clinical data management organizations, medical institutions and clinical investigators, to conduct any clinical trials we may conduct. We may not be able to timely enter into arrangements with third parties or to do so on commercially reasonable terms, if at all. Though we intend to carefully manage our relationships with any CROs we engage,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any trials we may conduct may also be interrupted by public health emergencies.</w:t>
      </w:r>
    </w:p>
    <w:p>
      <w:pPr>
        <w:spacing w:after="0" w:line="156"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In addition, any third parties conducting future clinical trials on our behalf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any product candidates. Consequently, our results of operations and the commercial prospects for our product candidates would be harmed, our costs could increase substantially and our ability to generate revenue could be delayed significantly.</w:t>
      </w:r>
    </w:p>
    <w:p>
      <w:pPr>
        <w:spacing w:after="0" w:line="169" w:lineRule="exact"/>
        <w:rPr>
          <w:sz w:val="20"/>
          <w:szCs w:val="20"/>
          <w:color w:val="auto"/>
        </w:rPr>
      </w:pPr>
    </w:p>
    <w:p>
      <w:pPr>
        <w:ind w:right="20" w:firstLine="450"/>
        <w:spacing w:after="0" w:line="267" w:lineRule="auto"/>
        <w:rPr>
          <w:sz w:val="20"/>
          <w:szCs w:val="20"/>
          <w:color w:val="auto"/>
        </w:rPr>
      </w:pPr>
      <w:r>
        <w:rPr>
          <w:rFonts w:ascii="Times New Roman" w:cs="Times New Roman" w:eastAsia="Times New Roman" w:hAnsi="Times New Roman"/>
          <w:sz w:val="19"/>
          <w:szCs w:val="19"/>
          <w:color w:val="auto"/>
        </w:rPr>
        <w:t>We intend to rely on these parties for execution of any preclinical studies and clinical trials, and generally will not control their activities. Our reliance on these third parties for research and development activities will reduce our control over these activities but will not relieve us of our responsibilities. For example, we will remain responsible for ensuring that each clinical trial we conduct is conducted in accordance with the general investigational plan and protocols for the trial. Moreover, the FDA requires us to comply with standards, commonly referred to as good clinical practices, or GCPs, for conducting, recording and reporting the results of clinical trials we conduct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MHRA, EMA or comparable foreign regulatory authorities may require us to perform additional clinical trials before approving our marketing applications. We cannot assure you that upon inspection by a given regulatory authority, such regulatory authority will determine that any clinical trial we may conduct will comply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57" w:lineRule="exact"/>
        <w:rPr>
          <w:sz w:val="20"/>
          <w:szCs w:val="20"/>
          <w:color w:val="auto"/>
        </w:rPr>
      </w:pPr>
    </w:p>
    <w:p>
      <w:pPr>
        <w:ind w:right="120" w:firstLine="450"/>
        <w:spacing w:after="0" w:line="278" w:lineRule="auto"/>
        <w:rPr>
          <w:sz w:val="20"/>
          <w:szCs w:val="20"/>
          <w:color w:val="auto"/>
        </w:rPr>
      </w:pPr>
      <w:r>
        <w:rPr>
          <w:rFonts w:ascii="Times New Roman" w:cs="Times New Roman" w:eastAsia="Times New Roman" w:hAnsi="Times New Roman"/>
          <w:sz w:val="19"/>
          <w:szCs w:val="19"/>
          <w:color w:val="auto"/>
        </w:rPr>
        <w:t>Furthermore, these third parties may also have relationships with other entities, some of which may be our potential competitors. If these third parties do not successfully carry out their contractual duties or meet expected deadlines, we may be delayed in obtaining regulatory approvals for any product candidates we may seek to develop and may be delayed in our efforts to successfully commercialize such product candidates for targeted diseases.</w:t>
      </w:r>
    </w:p>
    <w:p>
      <w:pPr>
        <w:spacing w:after="0" w:line="148"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55"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our product candidates.</w:t>
      </w:r>
    </w:p>
    <w:p>
      <w:pPr>
        <w:spacing w:after="0" w:line="173" w:lineRule="exact"/>
        <w:rPr>
          <w:sz w:val="20"/>
          <w:szCs w:val="20"/>
          <w:color w:val="auto"/>
        </w:rPr>
      </w:pPr>
    </w:p>
    <w:p>
      <w:pPr>
        <w:ind w:right="120" w:firstLine="450"/>
        <w:spacing w:after="0" w:line="309" w:lineRule="auto"/>
        <w:rPr>
          <w:sz w:val="20"/>
          <w:szCs w:val="20"/>
          <w:color w:val="auto"/>
        </w:rPr>
      </w:pPr>
      <w:r>
        <w:rPr>
          <w:rFonts w:ascii="Times New Roman" w:cs="Times New Roman" w:eastAsia="Times New Roman" w:hAnsi="Times New Roman"/>
          <w:sz w:val="19"/>
          <w:szCs w:val="19"/>
          <w:color w:val="auto"/>
        </w:rPr>
        <w:t>We also expect to rely on other third parties to store and distribute product supplies for our clinical trials. Any performance failure on the part of our distributors could delay clinical development or marketing approval of our</w:t>
      </w:r>
    </w:p>
    <w:p>
      <w:pPr>
        <w:sectPr>
          <w:pgSz w:w="12240" w:h="15840" w:orient="portrait"/>
          <w:cols w:equalWidth="0" w:num="1">
            <w:col w:w="9360"/>
          </w:cols>
          <w:pgMar w:left="1440" w:top="1378" w:right="1440" w:bottom="855" w:gutter="0" w:footer="0" w:header="0"/>
        </w:sectPr>
      </w:pPr>
    </w:p>
    <w:bookmarkStart w:id="39" w:name="page40"/>
    <w:bookmarkEnd w:id="39"/>
    <w:p>
      <w:pPr>
        <w:ind w:right="200"/>
        <w:spacing w:after="0" w:line="281" w:lineRule="auto"/>
        <w:rPr>
          <w:sz w:val="20"/>
          <w:szCs w:val="20"/>
          <w:color w:val="auto"/>
        </w:rPr>
      </w:pPr>
      <w:r>
        <w:rPr>
          <w:rFonts w:ascii="Times New Roman" w:cs="Times New Roman" w:eastAsia="Times New Roman" w:hAnsi="Times New Roman"/>
          <w:sz w:val="20"/>
          <w:szCs w:val="20"/>
          <w:color w:val="auto"/>
        </w:rPr>
        <w:t>product candidates or commercialization of our products, producing additional losses and depriving us of potential revenue.</w:t>
      </w:r>
    </w:p>
    <w:p>
      <w:pPr>
        <w:spacing w:after="0" w:line="132" w:lineRule="exact"/>
        <w:rPr>
          <w:sz w:val="20"/>
          <w:szCs w:val="20"/>
          <w:color w:val="auto"/>
        </w:rPr>
      </w:pPr>
    </w:p>
    <w:p>
      <w:pPr>
        <w:ind w:left="480"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seek collaborations with third parties for the development or commercialization of any product candidates we may seek to develop. If those collaborations are not successful, we may not be able to capitalize on the market potential of these product candidates.</w:t>
      </w:r>
    </w:p>
    <w:p>
      <w:pPr>
        <w:spacing w:after="0" w:line="156"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We may seek third-party collaborators for the development and commercialization of any product candidates we may seek to develop.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Collaborations involving our product candidates would pose the following risks to us:</w:t>
      </w:r>
    </w:p>
    <w:p>
      <w:pPr>
        <w:spacing w:after="0" w:line="210" w:lineRule="exact"/>
        <w:rPr>
          <w:sz w:val="20"/>
          <w:szCs w:val="20"/>
          <w:color w:val="auto"/>
        </w:rPr>
      </w:pPr>
    </w:p>
    <w:p>
      <w:pPr>
        <w:ind w:left="1260" w:right="80" w:hanging="720"/>
        <w:spacing w:after="0" w:line="281"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these collaborations;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130" w:lineRule="exact"/>
        <w:rPr>
          <w:rFonts w:ascii="Times New Roman" w:cs="Times New Roman" w:eastAsia="Times New Roman" w:hAnsi="Times New Roman"/>
          <w:sz w:val="20"/>
          <w:szCs w:val="20"/>
          <w:color w:val="auto"/>
        </w:rPr>
      </w:pPr>
    </w:p>
    <w:p>
      <w:pPr>
        <w:ind w:left="1260" w:right="140" w:hanging="720"/>
        <w:spacing w:after="0" w:line="258"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83" w:lineRule="exact"/>
        <w:rPr>
          <w:rFonts w:ascii="Times New Roman" w:cs="Times New Roman" w:eastAsia="Times New Roman" w:hAnsi="Times New Roman"/>
          <w:sz w:val="20"/>
          <w:szCs w:val="20"/>
          <w:color w:val="auto"/>
        </w:rPr>
      </w:pPr>
    </w:p>
    <w:p>
      <w:pPr>
        <w:ind w:left="1260" w:right="20" w:hanging="720"/>
        <w:spacing w:after="0" w:line="266"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Times New Roman" w:cs="Times New Roman" w:eastAsia="Times New Roman" w:hAnsi="Times New Roman"/>
          <w:sz w:val="20"/>
          <w:szCs w:val="20"/>
          <w:color w:val="auto"/>
        </w:rPr>
      </w:pPr>
    </w:p>
    <w:p>
      <w:pPr>
        <w:ind w:left="1260" w:right="60" w:hanging="720"/>
        <w:spacing w:after="0" w:line="260"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3" w:lineRule="exact"/>
        <w:rPr>
          <w:rFonts w:ascii="Times New Roman" w:cs="Times New Roman" w:eastAsia="Times New Roman" w:hAnsi="Times New Roman"/>
          <w:sz w:val="20"/>
          <w:szCs w:val="20"/>
          <w:color w:val="auto"/>
        </w:rPr>
      </w:pPr>
    </w:p>
    <w:p>
      <w:pPr>
        <w:ind w:left="1260" w:right="260" w:hanging="720"/>
        <w:spacing w:after="0" w:line="281"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grant exclusive rights to our collaborators that would prevent us from collaborating with others;</w:t>
      </w:r>
    </w:p>
    <w:p>
      <w:pPr>
        <w:spacing w:after="0" w:line="61" w:lineRule="exact"/>
        <w:rPr>
          <w:rFonts w:ascii="Times New Roman" w:cs="Times New Roman" w:eastAsia="Times New Roman" w:hAnsi="Times New Roman"/>
          <w:sz w:val="20"/>
          <w:szCs w:val="20"/>
          <w:color w:val="auto"/>
        </w:rPr>
      </w:pPr>
    </w:p>
    <w:p>
      <w:pPr>
        <w:ind w:left="1260" w:right="220" w:hanging="720"/>
        <w:spacing w:after="0" w:line="266"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75" w:lineRule="exact"/>
        <w:rPr>
          <w:rFonts w:ascii="Times New Roman" w:cs="Times New Roman" w:eastAsia="Times New Roman" w:hAnsi="Times New Roman"/>
          <w:sz w:val="20"/>
          <w:szCs w:val="20"/>
          <w:color w:val="auto"/>
        </w:rPr>
      </w:pPr>
    </w:p>
    <w:p>
      <w:pPr>
        <w:ind w:left="1260" w:right="20" w:hanging="720"/>
        <w:spacing w:after="0" w:line="266"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such products;</w:t>
      </w:r>
    </w:p>
    <w:p>
      <w:pPr>
        <w:spacing w:after="0" w:line="75" w:lineRule="exact"/>
        <w:rPr>
          <w:rFonts w:ascii="Times New Roman" w:cs="Times New Roman" w:eastAsia="Times New Roman" w:hAnsi="Times New Roman"/>
          <w:sz w:val="20"/>
          <w:szCs w:val="20"/>
          <w:color w:val="auto"/>
        </w:rPr>
      </w:pPr>
    </w:p>
    <w:p>
      <w:pPr>
        <w:ind w:left="1260" w:right="200" w:hanging="720"/>
        <w:spacing w:after="0" w:line="258"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3" w:lineRule="exact"/>
        <w:rPr>
          <w:rFonts w:ascii="Times New Roman" w:cs="Times New Roman" w:eastAsia="Times New Roman" w:hAnsi="Times New Roman"/>
          <w:sz w:val="20"/>
          <w:szCs w:val="20"/>
          <w:color w:val="auto"/>
        </w:rPr>
      </w:pPr>
    </w:p>
    <w:p>
      <w:pPr>
        <w:ind w:left="1260" w:right="20" w:hanging="720"/>
        <w:spacing w:after="0" w:line="266" w:lineRule="auto"/>
        <w:tabs>
          <w:tab w:leader="none" w:pos="12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ectPr>
          <w:pgSz w:w="12240" w:h="15840" w:orient="portrait"/>
          <w:cols w:equalWidth="0" w:num="1">
            <w:col w:w="9360"/>
          </w:cols>
          <w:pgMar w:left="1440" w:top="1378" w:right="1440" w:bottom="1440" w:gutter="0" w:footer="0" w:header="0"/>
        </w:sectPr>
      </w:pPr>
    </w:p>
    <w:bookmarkStart w:id="40" w:name="page41"/>
    <w:bookmarkEnd w:id="40"/>
    <w:p>
      <w:pPr>
        <w:ind w:left="1260" w:right="280" w:hanging="720"/>
        <w:spacing w:after="0" w:line="281" w:lineRule="auto"/>
        <w:tabs>
          <w:tab w:leader="none" w:pos="12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 and</w:t>
      </w:r>
    </w:p>
    <w:p>
      <w:pPr>
        <w:spacing w:after="0" w:line="61" w:lineRule="exact"/>
        <w:rPr>
          <w:rFonts w:ascii="Times New Roman" w:cs="Times New Roman" w:eastAsia="Times New Roman" w:hAnsi="Times New Roman"/>
          <w:sz w:val="20"/>
          <w:szCs w:val="20"/>
          <w:color w:val="auto"/>
        </w:rPr>
      </w:pPr>
    </w:p>
    <w:p>
      <w:pPr>
        <w:ind w:left="1260" w:right="200" w:hanging="720"/>
        <w:spacing w:after="0" w:line="266" w:lineRule="auto"/>
        <w:tabs>
          <w:tab w:leader="none" w:pos="12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55"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63" w:lineRule="exact"/>
        <w:rPr>
          <w:sz w:val="20"/>
          <w:szCs w:val="20"/>
          <w:color w:val="auto"/>
        </w:rPr>
      </w:pPr>
    </w:p>
    <w:p>
      <w:pPr>
        <w:ind w:right="40" w:firstLine="450"/>
        <w:spacing w:after="0" w:line="267" w:lineRule="auto"/>
        <w:rPr>
          <w:sz w:val="20"/>
          <w:szCs w:val="20"/>
          <w:color w:val="auto"/>
        </w:rPr>
      </w:pPr>
      <w:r>
        <w:rPr>
          <w:rFonts w:ascii="Times New Roman" w:cs="Times New Roman" w:eastAsia="Times New Roman" w:hAnsi="Times New Roman"/>
          <w:sz w:val="19"/>
          <w:szCs w:val="19"/>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MHRA,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0"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08" w:lineRule="exact"/>
        <w:rPr>
          <w:sz w:val="20"/>
          <w:szCs w:val="20"/>
          <w:color w:val="auto"/>
        </w:rPr>
      </w:pPr>
    </w:p>
    <w:p>
      <w:pPr>
        <w:ind w:left="480" w:right="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or our future licensors are unable to obtain and maintain sufficient patent protection for any product candidates we may seek to develop, or if the scope of the patent protection is not sufficiently broad, third parties, including our potential competitors, could develop and commercialize products similar or identical to ours, and our ability to commercialize our product candidates may be adversely affected.</w:t>
      </w:r>
    </w:p>
    <w:p>
      <w:pPr>
        <w:spacing w:after="0" w:line="161" w:lineRule="exact"/>
        <w:rPr>
          <w:sz w:val="20"/>
          <w:szCs w:val="20"/>
          <w:color w:val="auto"/>
        </w:rPr>
      </w:pPr>
    </w:p>
    <w:p>
      <w:pPr>
        <w:ind w:firstLine="450"/>
        <w:spacing w:after="0" w:line="309" w:lineRule="auto"/>
        <w:rPr>
          <w:sz w:val="20"/>
          <w:szCs w:val="20"/>
          <w:color w:val="auto"/>
        </w:rPr>
      </w:pPr>
      <w:r>
        <w:rPr>
          <w:rFonts w:ascii="Times New Roman" w:cs="Times New Roman" w:eastAsia="Times New Roman" w:hAnsi="Times New Roman"/>
          <w:sz w:val="19"/>
          <w:szCs w:val="19"/>
          <w:color w:val="auto"/>
        </w:rPr>
        <w:t>Our success depends in large part on our ability to obtain and maintain patent and other intellectual property protection in the United States and in other countries with respect to any product candidates we may seek to develop.</w:t>
      </w:r>
    </w:p>
    <w:p>
      <w:pPr>
        <w:spacing w:after="0" w:line="117"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9"/>
          <w:szCs w:val="19"/>
          <w:color w:val="auto"/>
        </w:rPr>
        <w:t>The strength of patents in the biotechnology and pharmaceutical field involves complex legal and scientific questions and can be uncertain. We cannot offer any assurances about which of, any our future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w:t>
      </w:r>
    </w:p>
    <w:p>
      <w:pPr>
        <w:sectPr>
          <w:pgSz w:w="12240" w:h="15840" w:orient="portrait"/>
          <w:cols w:equalWidth="0" w:num="1">
            <w:col w:w="9360"/>
          </w:cols>
          <w:pgMar w:left="1440" w:top="1378" w:right="1440" w:bottom="1057" w:gutter="0" w:footer="0" w:header="0"/>
        </w:sectPr>
      </w:pPr>
    </w:p>
    <w:bookmarkStart w:id="41" w:name="page42"/>
    <w:bookmarkEnd w:id="41"/>
    <w:p>
      <w:pPr>
        <w:ind w:right="340"/>
        <w:spacing w:after="0" w:line="281" w:lineRule="auto"/>
        <w:rPr>
          <w:sz w:val="20"/>
          <w:szCs w:val="20"/>
          <w:color w:val="auto"/>
        </w:rPr>
      </w:pPr>
      <w:r>
        <w:rPr>
          <w:rFonts w:ascii="Times New Roman" w:cs="Times New Roman" w:eastAsia="Times New Roman" w:hAnsi="Times New Roman"/>
          <w:sz w:val="20"/>
          <w:szCs w:val="20"/>
          <w:color w:val="auto"/>
        </w:rPr>
        <w:t>technologies. Additionally, a derivation proceeding before the United States Patent and Trademark Office can be initiated by a third party to contest inventorship of the subject matter claimed in our applications.</w:t>
      </w:r>
    </w:p>
    <w:p>
      <w:pPr>
        <w:spacing w:after="0" w:line="141"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Furthermore, any successful challenge to these patents or any other patents owned by or licensed to us after patent issuance could deprive us of rights necessary for the successful commercialization of any of our product candidates and technologies that we may develop. Even if they are unchallenged or such third-party challenges are unsuccessful, our patent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76" w:lineRule="exact"/>
        <w:rPr>
          <w:sz w:val="20"/>
          <w:szCs w:val="20"/>
          <w:color w:val="auto"/>
        </w:rPr>
      </w:pPr>
    </w:p>
    <w:p>
      <w:pPr>
        <w:ind w:right="40" w:firstLine="450"/>
        <w:spacing w:after="0" w:line="251" w:lineRule="auto"/>
        <w:rPr>
          <w:sz w:val="20"/>
          <w:szCs w:val="20"/>
          <w:color w:val="auto"/>
        </w:rPr>
      </w:pPr>
      <w:r>
        <w:rPr>
          <w:rFonts w:ascii="Times New Roman" w:cs="Times New Roman" w:eastAsia="Times New Roman" w:hAnsi="Times New Roman"/>
          <w:sz w:val="20"/>
          <w:szCs w:val="20"/>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 We cannot guarantee that our employees, former employees or consultants will not file patent applications claiming our inventions. Because of the “first-to-file” laws in the United States and the uncertainties surrounding outcomes of derivation proceedings before the United States Patent and Trademark Office, such unauthorized patent application filings may defeat our attempts to obtain patents on our own inventions.</w:t>
      </w:r>
    </w:p>
    <w:p>
      <w:pPr>
        <w:spacing w:after="0" w:line="173" w:lineRule="exact"/>
        <w:rPr>
          <w:sz w:val="20"/>
          <w:szCs w:val="20"/>
          <w:color w:val="auto"/>
        </w:rPr>
      </w:pPr>
    </w:p>
    <w:p>
      <w:pPr>
        <w:ind w:right="120" w:firstLine="450"/>
        <w:spacing w:after="0" w:line="275" w:lineRule="auto"/>
        <w:rPr>
          <w:sz w:val="20"/>
          <w:szCs w:val="20"/>
          <w:color w:val="auto"/>
        </w:rPr>
      </w:pPr>
      <w:r>
        <w:rPr>
          <w:rFonts w:ascii="Times New Roman" w:cs="Times New Roman" w:eastAsia="Times New Roman" w:hAnsi="Times New Roman"/>
          <w:sz w:val="19"/>
          <w:szCs w:val="19"/>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may independently develop knowledge, methods and know-how equivalent to our trade secrets. Competitors could purchase our products and attempt to replicate some or all of the competitive advantages</w:t>
      </w:r>
    </w:p>
    <w:p>
      <w:pPr>
        <w:sectPr>
          <w:pgSz w:w="12240" w:h="15840" w:orient="portrait"/>
          <w:cols w:equalWidth="0" w:num="1">
            <w:col w:w="9360"/>
          </w:cols>
          <w:pgMar w:left="1440" w:top="1378" w:right="1440" w:bottom="1045" w:gutter="0" w:footer="0" w:header="0"/>
        </w:sectPr>
      </w:pPr>
    </w:p>
    <w:bookmarkStart w:id="42" w:name="page43"/>
    <w:bookmarkEnd w:id="42"/>
    <w:p>
      <w:pPr>
        <w:ind w:right="120"/>
        <w:spacing w:after="0" w:line="256" w:lineRule="auto"/>
        <w:rPr>
          <w:sz w:val="20"/>
          <w:szCs w:val="20"/>
          <w:color w:val="auto"/>
        </w:rPr>
      </w:pPr>
      <w:r>
        <w:rPr>
          <w:rFonts w:ascii="Times New Roman" w:cs="Times New Roman" w:eastAsia="Times New Roman" w:hAnsi="Times New Roman"/>
          <w:sz w:val="20"/>
          <w:szCs w:val="20"/>
          <w:color w:val="auto"/>
        </w:rPr>
        <w:t>we derive from our development efforts, willfully infringe our intellectual property rights, design around our protected technology or develop their own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any of our trade secrets and proprietary know-how were to be disclosed to or independently developed by a competitor, our competitive position would be harmed.</w:t>
      </w:r>
    </w:p>
    <w:p>
      <w:pPr>
        <w:spacing w:after="0" w:line="168" w:lineRule="exact"/>
        <w:rPr>
          <w:sz w:val="20"/>
          <w:szCs w:val="20"/>
          <w:color w:val="auto"/>
        </w:rPr>
      </w:pPr>
    </w:p>
    <w:p>
      <w:pPr>
        <w:ind w:right="80" w:firstLine="450"/>
        <w:spacing w:after="0" w:line="260" w:lineRule="auto"/>
        <w:rPr>
          <w:sz w:val="20"/>
          <w:szCs w:val="20"/>
          <w:color w:val="auto"/>
        </w:rPr>
      </w:pPr>
      <w:r>
        <w:rPr>
          <w:rFonts w:ascii="Times New Roman" w:cs="Times New Roman" w:eastAsia="Times New Roman" w:hAnsi="Times New Roman"/>
          <w:sz w:val="20"/>
          <w:szCs w:val="20"/>
          <w:color w:val="auto"/>
        </w:rPr>
        <w:t>We also seek to preserve the integrity and confidentiality of our data and trade secrets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63"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64" w:lineRule="exact"/>
        <w:rPr>
          <w:sz w:val="20"/>
          <w:szCs w:val="20"/>
          <w:color w:val="auto"/>
        </w:rPr>
      </w:pPr>
    </w:p>
    <w:p>
      <w:pPr>
        <w:ind w:left="480" w:right="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any product we may seek to develop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16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product candidates we may seek to develop are obtained, once the patent life has expired for a product, we may be open to competition from generic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161" w:lineRule="exact"/>
        <w:rPr>
          <w:sz w:val="20"/>
          <w:szCs w:val="20"/>
          <w:color w:val="auto"/>
        </w:rPr>
      </w:pPr>
    </w:p>
    <w:p>
      <w:pPr>
        <w:ind w:left="480"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imposed by any intellectual property licenses with third parties that we may need in the future, we could lose rights that are important to our business.</w:t>
      </w:r>
    </w:p>
    <w:p>
      <w:pPr>
        <w:spacing w:after="0" w:line="13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We may in the future require licenses to additional third-party technology and materials. Such licenses may not be available in the future or may not be available on commercially reasonable terms, or at all, which could have a material adverse effect on our business and financial condition. Even if we acquire the right to control the prosecution, maintenance and enforcement of the licensed and sublicensed intellectual property relating to our product candidates, we may require the cooperation of our licensors and any upstream licensor, which may not be</w:t>
      </w:r>
    </w:p>
    <w:p>
      <w:pPr>
        <w:sectPr>
          <w:pgSz w:w="12240" w:h="15840" w:orient="portrait"/>
          <w:cols w:equalWidth="0" w:num="1">
            <w:col w:w="9360"/>
          </w:cols>
          <w:pgMar w:left="1440" w:top="1378" w:right="1440" w:bottom="901" w:gutter="0" w:footer="0" w:header="0"/>
        </w:sectPr>
      </w:pPr>
    </w:p>
    <w:bookmarkStart w:id="43" w:name="page44"/>
    <w:bookmarkEnd w:id="43"/>
    <w:p>
      <w:pPr>
        <w:ind w:right="200"/>
        <w:spacing w:after="0" w:line="254" w:lineRule="auto"/>
        <w:rPr>
          <w:sz w:val="20"/>
          <w:szCs w:val="20"/>
          <w:color w:val="auto"/>
        </w:rPr>
      </w:pPr>
      <w:r>
        <w:rPr>
          <w:rFonts w:ascii="Times New Roman" w:cs="Times New Roman" w:eastAsia="Times New Roman" w:hAnsi="Times New Roman"/>
          <w:sz w:val="20"/>
          <w:szCs w:val="20"/>
          <w:color w:val="auto"/>
        </w:rPr>
        <w:t>forthcoming. Therefore, we cannot be certain that the prosecution, maintenance and enforcement of these patent rights will be in a manner consistent with the best interests of our business. If we or any future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which would affect our patent rights worldwide.</w:t>
      </w:r>
    </w:p>
    <w:p>
      <w:pPr>
        <w:spacing w:after="0" w:line="173"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Termination of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64"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60" w:lineRule="exact"/>
        <w:rPr>
          <w:sz w:val="20"/>
          <w:szCs w:val="20"/>
          <w:color w:val="auto"/>
        </w:rPr>
      </w:pPr>
    </w:p>
    <w:p>
      <w:pPr>
        <w:ind w:left="480"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Patent reform legislation could increase the uncertainties and costs surrounding the prosecution of our patent applications and the enforcement or defense of our future patents.</w:t>
      </w:r>
    </w:p>
    <w:p>
      <w:pPr>
        <w:spacing w:after="0" w:line="137"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20"/>
          <w:szCs w:val="20"/>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68"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For example, on September 16, 2011, the Leahy-Smith America Invents Act, or the Leahy-Smith Act, was signed into law. The Leahy-Smith Act included a number of significant changes to U.S. patent law. These included provisions that affect the way patent applications will be prosecuted and may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ectPr>
          <w:pgSz w:w="12240" w:h="15840" w:orient="portrait"/>
          <w:cols w:equalWidth="0" w:num="1">
            <w:col w:w="9360"/>
          </w:cols>
          <w:pgMar w:left="1440" w:top="1378" w:right="1440" w:bottom="1106" w:gutter="0" w:footer="0" w:header="0"/>
        </w:sectPr>
      </w:pPr>
    </w:p>
    <w:bookmarkStart w:id="44" w:name="page45"/>
    <w:bookmarkEnd w:id="44"/>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As an example, some European patent applications will have the option, upon grant of a patent, of becoming a Unitary Patent, which will be subject to the jurisdiction of the Unified Patent Court, or UPC. The option of a Unitary Patent is a significant change in European patent practice. As the UPC is a new court system, there is limited precedent for the court, increasing the uncertainty of any litigation in the UPC.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67" w:lineRule="exact"/>
        <w:rPr>
          <w:sz w:val="20"/>
          <w:szCs w:val="20"/>
          <w:color w:val="auto"/>
        </w:rPr>
      </w:pPr>
    </w:p>
    <w:p>
      <w:pPr>
        <w:ind w:left="480"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patents protecting product candidates we may seek to develop, which could be expensive, time consuming and unsuccessful.</w:t>
      </w:r>
    </w:p>
    <w:p>
      <w:pPr>
        <w:spacing w:after="0" w:line="137"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Potential competitors may infringe issued patents or any patents issued as a result of pending or future patent applications related to product candidates we may seek to develop.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in such infringement proceeding from using the technology at issue on the grounds that our or our licensor’s patents do not cover the technology in question. An adverse result in any litigation or defense proceedings could put one or more of such patents at risk of being invalidated, held unenforceable or interpreted narrowly, and could put any of our patent applications at risk of not yielding an issued patent.</w:t>
      </w:r>
    </w:p>
    <w:p>
      <w:pPr>
        <w:spacing w:after="0" w:line="173"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 xml:space="preserve">If we initiate legal proceedings against a third party to enforce a patent covering a product candidate we may seek to develop,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20"/>
          <w:szCs w:val="20"/>
          <w:b w:val="1"/>
          <w:bCs w:val="1"/>
          <w:i w:val="1"/>
          <w:iCs w:val="1"/>
          <w:color w:val="auto"/>
        </w:rPr>
        <w:t>inter partes</w:t>
      </w:r>
      <w:r>
        <w:rPr>
          <w:rFonts w:ascii="Times New Roman" w:cs="Times New Roman" w:eastAsia="Times New Roman" w:hAnsi="Times New Roman"/>
          <w:sz w:val="20"/>
          <w:szCs w:val="20"/>
          <w:color w:val="auto"/>
        </w:rPr>
        <w:t xml:space="preserve"> review and equivalent proceedings in foreign jurisdictions (for example, opposition proceedings, nullity proceedings or litigation or invalidation trials or invalidation proceedings). Such proceedings could result in revocation of or amendment to our patents in such a way that they no longer cover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72" w:lineRule="exact"/>
        <w:rPr>
          <w:sz w:val="20"/>
          <w:szCs w:val="20"/>
          <w:color w:val="auto"/>
        </w:rPr>
      </w:pPr>
    </w:p>
    <w:p>
      <w:pPr>
        <w:ind w:right="100" w:firstLine="450"/>
        <w:spacing w:after="0" w:line="275" w:lineRule="auto"/>
        <w:rPr>
          <w:sz w:val="20"/>
          <w:szCs w:val="20"/>
          <w:color w:val="auto"/>
        </w:rPr>
      </w:pPr>
      <w:r>
        <w:rPr>
          <w:rFonts w:ascii="Times New Roman" w:cs="Times New Roman" w:eastAsia="Times New Roman" w:hAnsi="Times New Roman"/>
          <w:sz w:val="19"/>
          <w:szCs w:val="19"/>
          <w:color w:val="auto"/>
        </w:rPr>
        <w:t>Derivation proceedings initiated by third parties or us may be necessary to determine the inventorship (and possibly also ownership) of inventions with respect to our patent applications or resulting patents, or patent applications or resulting patents of third parties.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w:t>
      </w:r>
    </w:p>
    <w:p>
      <w:pPr>
        <w:sectPr>
          <w:pgSz w:w="12240" w:h="15840" w:orient="portrait"/>
          <w:cols w:equalWidth="0" w:num="1">
            <w:col w:w="9360"/>
          </w:cols>
          <w:pgMar w:left="1440" w:top="1378" w:right="1440" w:bottom="1045" w:gutter="0" w:footer="0" w:header="0"/>
        </w:sectPr>
      </w:pPr>
    </w:p>
    <w:bookmarkStart w:id="45" w:name="page46"/>
    <w:bookmarkEnd w:id="45"/>
    <w:p>
      <w:pPr>
        <w:ind w:right="100"/>
        <w:spacing w:after="0" w:line="286" w:lineRule="auto"/>
        <w:rPr>
          <w:sz w:val="20"/>
          <w:szCs w:val="20"/>
          <w:color w:val="auto"/>
        </w:rPr>
      </w:pPr>
      <w:r>
        <w:rPr>
          <w:rFonts w:ascii="Times New Roman" w:cs="Times New Roman" w:eastAsia="Times New Roman" w:hAnsi="Times New Roman"/>
          <w:sz w:val="19"/>
          <w:szCs w:val="19"/>
          <w:color w:val="auto"/>
        </w:rPr>
        <w:t>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39"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55" w:lineRule="exact"/>
        <w:rPr>
          <w:sz w:val="20"/>
          <w:szCs w:val="20"/>
          <w:color w:val="auto"/>
        </w:rPr>
      </w:pPr>
    </w:p>
    <w:p>
      <w:pPr>
        <w:ind w:left="480" w:right="20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We may not identify relevant third party patents or may incorrectly interpret the relevance, scope or expiration of a third party patent which might adversely affect our ability to develop and market products.</w:t>
      </w:r>
    </w:p>
    <w:p>
      <w:pPr>
        <w:spacing w:after="0" w:line="114" w:lineRule="exact"/>
        <w:rPr>
          <w:sz w:val="20"/>
          <w:szCs w:val="20"/>
          <w:color w:val="auto"/>
        </w:rPr>
      </w:pPr>
    </w:p>
    <w:p>
      <w:pPr>
        <w:ind w:right="420" w:firstLine="450"/>
        <w:spacing w:after="0" w:line="258" w:lineRule="auto"/>
        <w:rPr>
          <w:sz w:val="20"/>
          <w:szCs w:val="20"/>
          <w:color w:val="auto"/>
        </w:rPr>
      </w:pPr>
      <w:r>
        <w:rPr>
          <w:rFonts w:ascii="Times New Roman" w:cs="Times New Roman" w:eastAsia="Times New Roman" w:hAnsi="Times New Roman"/>
          <w:sz w:val="20"/>
          <w:szCs w:val="20"/>
          <w:color w:val="auto"/>
        </w:rPr>
        <w:t>We cannot guarantee that any of our patent searches or analyses, including the identification of relevant patents, the scope and validity of patent claims or the expiration of relevant patents, are or will be complete or thorough, nor can we be certain that we have identified or will identify each and every third party patent and pending application in the United States and abroad that is relevant to or necessary for the commercialization of product candidates we may seek to develop in any jurisdiction.</w:t>
      </w:r>
    </w:p>
    <w:p>
      <w:pPr>
        <w:spacing w:after="0" w:line="164"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 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64" w:lineRule="exact"/>
        <w:rPr>
          <w:sz w:val="20"/>
          <w:szCs w:val="20"/>
          <w:color w:val="auto"/>
        </w:rPr>
      </w:pPr>
    </w:p>
    <w:p>
      <w:pPr>
        <w:ind w:left="480"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unsuccessful in licensing or acquiring intellectual property from third parties that may be required to develop and commercialize our product candidates.</w:t>
      </w:r>
    </w:p>
    <w:p>
      <w:pPr>
        <w:spacing w:after="0" w:line="137"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A third party may hold intellectual property, including patent rights that are important or necessary to the development and commercialization of product candidates we may seek to develop. It may be necessary for us to use the patented or proprietary technology of third parties to commercialize such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170" w:lineRule="exact"/>
        <w:rPr>
          <w:sz w:val="20"/>
          <w:szCs w:val="20"/>
          <w:color w:val="auto"/>
        </w:rPr>
      </w:pPr>
    </w:p>
    <w:p>
      <w:pPr>
        <w:ind w:left="480"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w:t>
      </w:r>
    </w:p>
    <w:p>
      <w:pPr>
        <w:spacing w:after="0" w:line="137" w:lineRule="exact"/>
        <w:rPr>
          <w:sz w:val="20"/>
          <w:szCs w:val="20"/>
          <w:color w:val="auto"/>
        </w:rPr>
      </w:pPr>
    </w:p>
    <w:p>
      <w:pPr>
        <w:ind w:right="20" w:firstLine="450"/>
        <w:spacing w:after="0" w:line="272" w:lineRule="auto"/>
        <w:rPr>
          <w:sz w:val="20"/>
          <w:szCs w:val="20"/>
          <w:color w:val="auto"/>
        </w:rPr>
      </w:pPr>
      <w:r>
        <w:rPr>
          <w:rFonts w:ascii="Times New Roman" w:cs="Times New Roman" w:eastAsia="Times New Roman" w:hAnsi="Times New Roman"/>
          <w:sz w:val="19"/>
          <w:szCs w:val="19"/>
          <w:color w:val="auto"/>
        </w:rPr>
        <w:t>Our commercial success depends in part on our ability to develop, manufacture, market and sell drug candidates that we may seek to develop and use our proprietary technologies without infringing or otherwise violating the patents and proprietary rights of third parties. As any future product candidate we may seek to develop progresses toward commercialization, the possibility of a patent infringement claim against us would increase. There is a substantial amount of litigation involving patent and other intellectual property rights in the biotechnology and pharmaceutical industries, including patent infringement lawsuits, interferences, derivation proceedings, post grant</w:t>
      </w:r>
    </w:p>
    <w:p>
      <w:pPr>
        <w:sectPr>
          <w:pgSz w:w="12240" w:h="15840" w:orient="portrait"/>
          <w:cols w:equalWidth="0" w:num="1">
            <w:col w:w="9360"/>
          </w:cols>
          <w:pgMar w:left="1440" w:top="1378" w:right="1440" w:bottom="971" w:gutter="0" w:footer="0" w:header="0"/>
        </w:sectPr>
      </w:pPr>
    </w:p>
    <w:bookmarkStart w:id="46" w:name="page47"/>
    <w:bookmarkEnd w:id="46"/>
    <w:p>
      <w:pPr>
        <w:ind w:right="140"/>
        <w:spacing w:after="0" w:line="255" w:lineRule="auto"/>
        <w:rPr>
          <w:sz w:val="20"/>
          <w:szCs w:val="20"/>
          <w:color w:val="auto"/>
        </w:rPr>
      </w:pPr>
      <w:r>
        <w:rPr>
          <w:rFonts w:ascii="Times New Roman" w:cs="Times New Roman" w:eastAsia="Times New Roman" w:hAnsi="Times New Roman"/>
          <w:sz w:val="20"/>
          <w:szCs w:val="20"/>
          <w:color w:val="auto"/>
        </w:rPr>
        <w:t>reviews, inter partes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or otherwise violating their patent or other intellectual property rights.</w:t>
      </w:r>
    </w:p>
    <w:p>
      <w:pPr>
        <w:spacing w:after="0" w:line="170"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cannot provide any assurance that any product candidates we may seek to develop will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our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17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20"/>
          <w:szCs w:val="20"/>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79"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8" w:lineRule="exact"/>
        <w:rPr>
          <w:sz w:val="20"/>
          <w:szCs w:val="20"/>
          <w:color w:val="auto"/>
        </w:rPr>
      </w:pPr>
    </w:p>
    <w:p>
      <w:pPr>
        <w:ind w:firstLine="450"/>
        <w:spacing w:after="0" w:line="309" w:lineRule="auto"/>
        <w:rPr>
          <w:sz w:val="20"/>
          <w:szCs w:val="20"/>
          <w:color w:val="auto"/>
        </w:rPr>
      </w:pPr>
      <w:r>
        <w:rPr>
          <w:rFonts w:ascii="Times New Roman" w:cs="Times New Roman" w:eastAsia="Times New Roman" w:hAnsi="Times New Roman"/>
          <w:sz w:val="19"/>
          <w:szCs w:val="19"/>
          <w:color w:val="auto"/>
        </w:rPr>
        <w:t>The cost to us in defending or initiating any litigation or other proceeding relating to patent or other proprietary rights, even if resolved in our favor, could be substantial, and litigation would divert our management’s attention.</w:t>
      </w:r>
    </w:p>
    <w:p>
      <w:pPr>
        <w:sectPr>
          <w:pgSz w:w="12240" w:h="15840" w:orient="portrait"/>
          <w:cols w:equalWidth="0" w:num="1">
            <w:col w:w="9360"/>
          </w:cols>
          <w:pgMar w:left="1440" w:top="1378" w:right="1440" w:bottom="1015" w:gutter="0" w:footer="0" w:header="0"/>
        </w:sectPr>
      </w:pPr>
    </w:p>
    <w:bookmarkStart w:id="47" w:name="page48"/>
    <w:bookmarkEnd w:id="47"/>
    <w:p>
      <w:pPr>
        <w:ind w:right="180"/>
        <w:spacing w:after="0" w:line="260"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54" w:lineRule="exact"/>
        <w:rPr>
          <w:sz w:val="20"/>
          <w:szCs w:val="20"/>
          <w:color w:val="auto"/>
        </w:rPr>
      </w:pPr>
    </w:p>
    <w:p>
      <w:pPr>
        <w:ind w:left="480"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of third parties.</w:t>
      </w:r>
    </w:p>
    <w:p>
      <w:pPr>
        <w:spacing w:after="0" w:line="137"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166" w:lineRule="exact"/>
        <w:rPr>
          <w:sz w:val="20"/>
          <w:szCs w:val="20"/>
          <w:color w:val="auto"/>
        </w:rPr>
      </w:pPr>
    </w:p>
    <w:p>
      <w:pPr>
        <w:ind w:left="480"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future patents and other intellectual property.</w:t>
      </w:r>
    </w:p>
    <w:p>
      <w:pPr>
        <w:spacing w:after="0" w:line="137"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product candidates we may seek to develop.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67" w:lineRule="exact"/>
        <w:rPr>
          <w:sz w:val="20"/>
          <w:szCs w:val="20"/>
          <w:color w:val="auto"/>
        </w:rPr>
      </w:pPr>
    </w:p>
    <w:p>
      <w:pPr>
        <w:ind w:left="480" w:right="6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37" w:lineRule="exact"/>
        <w:rPr>
          <w:sz w:val="20"/>
          <w:szCs w:val="20"/>
          <w:color w:val="auto"/>
        </w:rPr>
      </w:pPr>
    </w:p>
    <w:p>
      <w:pPr>
        <w:ind w:right="40" w:firstLine="450"/>
        <w:spacing w:after="0" w:line="267" w:lineRule="auto"/>
        <w:rPr>
          <w:sz w:val="20"/>
          <w:szCs w:val="20"/>
          <w:color w:val="auto"/>
        </w:rPr>
      </w:pPr>
      <w:r>
        <w:rPr>
          <w:rFonts w:ascii="Times New Roman" w:cs="Times New Roman" w:eastAsia="Times New Roman" w:hAnsi="Times New Roman"/>
          <w:sz w:val="19"/>
          <w:szCs w:val="19"/>
          <w:color w:val="auto"/>
        </w:rPr>
        <w:t>If we rely on third parties to manufacture or commercialize any product candidates we may seek to develop,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w:t>
      </w:r>
    </w:p>
    <w:p>
      <w:pPr>
        <w:sectPr>
          <w:pgSz w:w="12240" w:h="15840" w:orient="portrait"/>
          <w:cols w:equalWidth="0" w:num="1">
            <w:col w:w="9360"/>
          </w:cols>
          <w:pgMar w:left="1440" w:top="1378" w:right="1440" w:bottom="1140" w:gutter="0" w:footer="0" w:header="0"/>
        </w:sectPr>
      </w:pPr>
    </w:p>
    <w:bookmarkStart w:id="48" w:name="page49"/>
    <w:bookmarkEnd w:id="48"/>
    <w:p>
      <w:pPr>
        <w:ind w:right="140"/>
        <w:spacing w:after="0" w:line="281" w:lineRule="auto"/>
        <w:rPr>
          <w:sz w:val="20"/>
          <w:szCs w:val="20"/>
          <w:color w:val="auto"/>
        </w:rPr>
      </w:pPr>
      <w:r>
        <w:rPr>
          <w:rFonts w:ascii="Times New Roman" w:cs="Times New Roman" w:eastAsia="Times New Roman" w:hAnsi="Times New Roman"/>
          <w:sz w:val="20"/>
          <w:szCs w:val="20"/>
          <w:color w:val="auto"/>
        </w:rPr>
        <w:t>our trade secrets or other unauthorized use or disclosure could have an adverse effect on our business and results of operations.</w:t>
      </w:r>
    </w:p>
    <w:p>
      <w:pPr>
        <w:spacing w:after="0" w:line="14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70"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enjoy only limited geographical protection with respect to certain patents and we may not be able to protect our intellectual property rights throughout the world.</w:t>
      </w:r>
    </w:p>
    <w:p>
      <w:pPr>
        <w:spacing w:after="0" w:line="137"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Filing and prosecuting patent applications and defending patents covering our product candidates in all countries throughout the world would be prohibitively expensive. Potential competitors may use our technologies in jurisdictions where we do not obtain patent protection to develop their own products and, further, may export otherwise infringing products to territories where we have patent protection, but enforcement rights are not as strong as that in the United States or Europe. These products may compete with the product candidates we may seek to develop, and our future patents or other intellectual property rights may not be effective or sufficient to prevent them from competing.</w:t>
      </w:r>
    </w:p>
    <w:p>
      <w:pPr>
        <w:spacing w:after="0" w:line="170"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20"/>
          <w:szCs w:val="20"/>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68"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While we intend to protect any intellectual property rights in any product candidates we may seek to develop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73"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ability to protect and enforce our intellectual property rights may be adversely affected by unforeseen changes in foreign intellectual property laws.</w:t>
      </w:r>
    </w:p>
    <w:p>
      <w:pPr>
        <w:sectPr>
          <w:pgSz w:w="12240" w:h="15840" w:orient="portrait"/>
          <w:cols w:equalWidth="0" w:num="1">
            <w:col w:w="9360"/>
          </w:cols>
          <w:pgMar w:left="1440" w:top="1378" w:right="1440" w:bottom="913" w:gutter="0" w:footer="0" w:header="0"/>
        </w:sectPr>
      </w:pPr>
    </w:p>
    <w:bookmarkStart w:id="49" w:name="page50"/>
    <w:bookmarkEnd w:id="49"/>
    <w:p>
      <w:pPr>
        <w:ind w:right="140" w:firstLine="450"/>
        <w:spacing w:after="0" w:line="269" w:lineRule="auto"/>
        <w:rPr>
          <w:sz w:val="20"/>
          <w:szCs w:val="20"/>
          <w:color w:val="auto"/>
        </w:rPr>
      </w:pPr>
      <w:r>
        <w:rPr>
          <w:rFonts w:ascii="Times New Roman" w:cs="Times New Roman" w:eastAsia="Times New Roman" w:hAnsi="Times New Roman"/>
          <w:sz w:val="19"/>
          <w:szCs w:val="19"/>
          <w:color w:val="auto"/>
        </w:rPr>
        <w:t>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56"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20"/>
          <w:szCs w:val="20"/>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 to our competitive advantage.</w:t>
      </w:r>
    </w:p>
    <w:p>
      <w:pPr>
        <w:spacing w:after="0" w:line="21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20"/>
          <w:szCs w:val="20"/>
          <w:color w:val="auto"/>
        </w:rPr>
        <w:t>The degree of future protection afforded by our future intellectual property rights is uncertain because intellectual property rights have limitations and may not adequately protect our business or permit us to maintain our competitive advantage. The following examples are illustrative:</w:t>
      </w:r>
    </w:p>
    <w:p>
      <w:pPr>
        <w:spacing w:after="0" w:line="155" w:lineRule="exact"/>
        <w:rPr>
          <w:sz w:val="20"/>
          <w:szCs w:val="20"/>
          <w:color w:val="auto"/>
        </w:rPr>
      </w:pPr>
    </w:p>
    <w:p>
      <w:pPr>
        <w:ind w:left="1260" w:right="620" w:hanging="720"/>
        <w:spacing w:after="0" w:line="266"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products that are similar to or otherwise competitive with product candidates we may seek to develop but that are not covered by the claims of our or future collaborator’s current or future patents;</w:t>
      </w:r>
    </w:p>
    <w:p>
      <w:pPr>
        <w:spacing w:after="0" w:line="75" w:lineRule="exact"/>
        <w:rPr>
          <w:rFonts w:ascii="Times New Roman" w:cs="Times New Roman" w:eastAsia="Times New Roman" w:hAnsi="Times New Roman"/>
          <w:sz w:val="20"/>
          <w:szCs w:val="20"/>
          <w:color w:val="auto"/>
        </w:rPr>
      </w:pPr>
    </w:p>
    <w:p>
      <w:pPr>
        <w:ind w:left="1260" w:right="300" w:hanging="720"/>
        <w:spacing w:after="0" w:line="281"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in-license necessary for the manufacture, use, sale, offer for sale or importation of one or more product candidates we may seek to develop may be terminated by the licensor;</w:t>
      </w:r>
    </w:p>
    <w:p>
      <w:pPr>
        <w:spacing w:after="0" w:line="61" w:lineRule="exact"/>
        <w:rPr>
          <w:rFonts w:ascii="Times New Roman" w:cs="Times New Roman" w:eastAsia="Times New Roman" w:hAnsi="Times New Roman"/>
          <w:sz w:val="20"/>
          <w:szCs w:val="20"/>
          <w:color w:val="auto"/>
        </w:rPr>
      </w:pPr>
    </w:p>
    <w:p>
      <w:pPr>
        <w:ind w:left="1260" w:right="580" w:hanging="720"/>
        <w:spacing w:after="0" w:line="281"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future collaborators might not have been the first to make the inventions covered by our licensed-in, issued or future issued patents or our pending patent applications;</w:t>
      </w:r>
    </w:p>
    <w:p>
      <w:pPr>
        <w:spacing w:after="0" w:line="61" w:lineRule="exact"/>
        <w:rPr>
          <w:rFonts w:ascii="Times New Roman" w:cs="Times New Roman" w:eastAsia="Times New Roman" w:hAnsi="Times New Roman"/>
          <w:sz w:val="20"/>
          <w:szCs w:val="20"/>
          <w:color w:val="auto"/>
        </w:rPr>
      </w:pPr>
    </w:p>
    <w:p>
      <w:pPr>
        <w:ind w:left="1260" w:right="60" w:hanging="720"/>
        <w:spacing w:after="0" w:line="281"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future collaborators might not have been the first to file patent applications covering certain of our inventions or the inventions we have licensed-in;</w:t>
      </w:r>
    </w:p>
    <w:p>
      <w:pPr>
        <w:spacing w:after="0" w:line="61" w:lineRule="exact"/>
        <w:rPr>
          <w:rFonts w:ascii="Times New Roman" w:cs="Times New Roman" w:eastAsia="Times New Roman" w:hAnsi="Times New Roman"/>
          <w:sz w:val="20"/>
          <w:szCs w:val="20"/>
          <w:color w:val="auto"/>
        </w:rPr>
      </w:pPr>
    </w:p>
    <w:p>
      <w:pPr>
        <w:ind w:left="1260" w:right="180" w:hanging="720"/>
        <w:spacing w:after="0" w:line="281"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technologies we may seek to develop without infringing our intellectual property rights;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future pending patent applications will not lead to issued patents;</w:t>
      </w:r>
    </w:p>
    <w:p>
      <w:pPr>
        <w:spacing w:after="0" w:line="130" w:lineRule="exact"/>
        <w:rPr>
          <w:rFonts w:ascii="Times New Roman" w:cs="Times New Roman" w:eastAsia="Times New Roman" w:hAnsi="Times New Roman"/>
          <w:sz w:val="20"/>
          <w:szCs w:val="20"/>
          <w:color w:val="auto"/>
        </w:rPr>
      </w:pPr>
    </w:p>
    <w:p>
      <w:pPr>
        <w:ind w:left="1260" w:right="380" w:hanging="720"/>
        <w:spacing w:after="0" w:line="281"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own or in-license may be held invalid or unenforceable as a result of legal challenges by our competitors;</w:t>
      </w:r>
    </w:p>
    <w:p>
      <w:pPr>
        <w:spacing w:after="0" w:line="61" w:lineRule="exact"/>
        <w:rPr>
          <w:rFonts w:ascii="Times New Roman" w:cs="Times New Roman" w:eastAsia="Times New Roman" w:hAnsi="Times New Roman"/>
          <w:sz w:val="20"/>
          <w:szCs w:val="20"/>
          <w:color w:val="auto"/>
        </w:rPr>
      </w:pPr>
    </w:p>
    <w:p>
      <w:pPr>
        <w:ind w:left="1260" w:right="440" w:hanging="720"/>
        <w:spacing w:after="0" w:line="281"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own or in-license may not provide coverage for all aspects of our product candidates in all countries;</w:t>
      </w:r>
    </w:p>
    <w:p>
      <w:pPr>
        <w:spacing w:after="0" w:line="61" w:lineRule="exact"/>
        <w:rPr>
          <w:rFonts w:ascii="Times New Roman" w:cs="Times New Roman" w:eastAsia="Times New Roman" w:hAnsi="Times New Roman"/>
          <w:sz w:val="20"/>
          <w:szCs w:val="20"/>
          <w:color w:val="auto"/>
        </w:rPr>
      </w:pPr>
    </w:p>
    <w:p>
      <w:pPr>
        <w:ind w:left="1260" w:right="180" w:hanging="720"/>
        <w:spacing w:after="0" w:line="266" w:lineRule="auto"/>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potential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 and</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10" w:lineRule="exact"/>
        <w:rPr>
          <w:sz w:val="20"/>
          <w:szCs w:val="20"/>
          <w:color w:val="auto"/>
        </w:rPr>
      </w:pPr>
    </w:p>
    <w:p>
      <w:pPr>
        <w:ind w:right="720" w:firstLine="450"/>
        <w:spacing w:after="0" w:line="281" w:lineRule="auto"/>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results of operations and prospects.</w:t>
      </w:r>
    </w:p>
    <w:p>
      <w:pPr>
        <w:sectPr>
          <w:pgSz w:w="12240" w:h="15840" w:orient="portrait"/>
          <w:cols w:equalWidth="0" w:num="1">
            <w:col w:w="9360"/>
          </w:cols>
          <w:pgMar w:left="1440" w:top="1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Risks Related to Legal and Regulatory Compliance Matters</w:t>
      </w:r>
    </w:p>
    <w:p>
      <w:pPr>
        <w:spacing w:after="0" w:line="208" w:lineRule="exact"/>
        <w:rPr>
          <w:sz w:val="20"/>
          <w:szCs w:val="20"/>
          <w:color w:val="auto"/>
        </w:rPr>
      </w:pPr>
    </w:p>
    <w:p>
      <w:pPr>
        <w:jc w:val="both"/>
        <w:ind w:left="480" w:right="2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161"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176" w:lineRule="exact"/>
        <w:rPr>
          <w:sz w:val="20"/>
          <w:szCs w:val="20"/>
          <w:color w:val="auto"/>
        </w:rPr>
      </w:pPr>
    </w:p>
    <w:p>
      <w:pPr>
        <w:ind w:left="1260" w:right="20" w:hanging="720"/>
        <w:spacing w:after="0" w:line="253" w:lineRule="auto"/>
        <w:tabs>
          <w:tab w:leader="none" w:pos="12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88" w:lineRule="exact"/>
        <w:rPr>
          <w:rFonts w:ascii="Times New Roman" w:cs="Times New Roman" w:eastAsia="Times New Roman" w:hAnsi="Times New Roman"/>
          <w:sz w:val="20"/>
          <w:szCs w:val="20"/>
          <w:color w:val="auto"/>
        </w:rPr>
      </w:pPr>
    </w:p>
    <w:p>
      <w:pPr>
        <w:ind w:left="1260" w:right="40" w:hanging="720"/>
        <w:spacing w:after="0" w:line="252" w:lineRule="auto"/>
        <w:tabs>
          <w:tab w:leader="none" w:pos="12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97" w:lineRule="exact"/>
        <w:rPr>
          <w:rFonts w:ascii="Times New Roman" w:cs="Times New Roman" w:eastAsia="Times New Roman" w:hAnsi="Times New Roman"/>
          <w:sz w:val="20"/>
          <w:szCs w:val="20"/>
          <w:color w:val="auto"/>
        </w:rPr>
      </w:pPr>
    </w:p>
    <w:p>
      <w:pPr>
        <w:ind w:left="1260" w:right="20" w:hanging="720"/>
        <w:spacing w:after="0" w:line="238" w:lineRule="auto"/>
        <w:tabs>
          <w:tab w:leader="none" w:pos="12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ectPr>
          <w:pgSz w:w="12240" w:h="15840" w:orient="portrait"/>
          <w:cols w:equalWidth="0" w:num="1">
            <w:col w:w="9360"/>
          </w:cols>
          <w:pgMar w:left="1440" w:top="1371" w:right="1440" w:bottom="913" w:gutter="0" w:footer="0" w:header="0"/>
        </w:sectPr>
      </w:pPr>
    </w:p>
    <w:bookmarkStart w:id="51" w:name="page52"/>
    <w:bookmarkEnd w:id="51"/>
    <w:p>
      <w:pPr>
        <w:ind w:left="1260" w:right="140" w:hanging="720"/>
        <w:spacing w:after="0"/>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or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health plans, healthcare clearinghouses and healthcare providers and their respective business associates and their covered subcontractors;</w:t>
      </w:r>
    </w:p>
    <w:p>
      <w:pPr>
        <w:spacing w:after="0" w:line="84" w:lineRule="exact"/>
        <w:rPr>
          <w:rFonts w:ascii="Times New Roman" w:cs="Times New Roman" w:eastAsia="Times New Roman" w:hAnsi="Times New Roman"/>
          <w:sz w:val="20"/>
          <w:szCs w:val="20"/>
          <w:color w:val="auto"/>
        </w:rPr>
      </w:pPr>
    </w:p>
    <w:p>
      <w:pPr>
        <w:ind w:left="1260" w:right="20" w:hanging="720"/>
        <w:spacing w:after="0" w:line="254" w:lineRule="auto"/>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spacing w:after="0" w:line="92" w:lineRule="exact"/>
        <w:rPr>
          <w:rFonts w:ascii="Times New Roman" w:cs="Times New Roman" w:eastAsia="Times New Roman" w:hAnsi="Times New Roman"/>
          <w:sz w:val="20"/>
          <w:szCs w:val="20"/>
          <w:color w:val="auto"/>
        </w:rPr>
      </w:pPr>
    </w:p>
    <w:p>
      <w:pPr>
        <w:ind w:left="1260" w:right="80" w:hanging="720"/>
        <w:spacing w:after="0" w:line="254" w:lineRule="auto"/>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certain regulatory licenses to manufacture or distribute our products commercially and/or the registration of pharmaceutical sales representatives.</w:t>
      </w:r>
    </w:p>
    <w:p>
      <w:pPr>
        <w:spacing w:after="0" w:line="173"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73"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60" w:lineRule="exact"/>
        <w:rPr>
          <w:sz w:val="20"/>
          <w:szCs w:val="20"/>
          <w:color w:val="auto"/>
        </w:rPr>
      </w:pPr>
    </w:p>
    <w:p>
      <w:pPr>
        <w:ind w:left="480"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for any product candidates we may seek to develop, they will remain subject to ongoing regulatory oversight, which may result in significant additional expense.</w:t>
      </w:r>
    </w:p>
    <w:p>
      <w:pPr>
        <w:spacing w:after="0" w:line="137" w:lineRule="exact"/>
        <w:rPr>
          <w:sz w:val="20"/>
          <w:szCs w:val="20"/>
          <w:color w:val="auto"/>
        </w:rPr>
      </w:pPr>
    </w:p>
    <w:p>
      <w:pPr>
        <w:ind w:right="100" w:firstLine="450"/>
        <w:spacing w:after="0" w:line="272" w:lineRule="auto"/>
        <w:rPr>
          <w:sz w:val="20"/>
          <w:szCs w:val="20"/>
          <w:color w:val="auto"/>
        </w:rPr>
      </w:pPr>
      <w:r>
        <w:rPr>
          <w:rFonts w:ascii="Times New Roman" w:cs="Times New Roman" w:eastAsia="Times New Roman" w:hAnsi="Times New Roman"/>
          <w:sz w:val="19"/>
          <w:szCs w:val="19"/>
          <w:color w:val="auto"/>
        </w:rPr>
        <w:t>Even if we obtain any regulatory approval for any product candidates we may seek to develop,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any product candidates may also be subject to a risk evaluation and mitigation strategy, limitations on the approved indicated uses for which the drug may be marketed or to the conditions of approval, or requirements that we conduct potentially costly post-marketing testing and surveillance</w:t>
      </w:r>
    </w:p>
    <w:p>
      <w:pPr>
        <w:sectPr>
          <w:pgSz w:w="12240" w:h="15840" w:orient="portrait"/>
          <w:cols w:equalWidth="0" w:num="1">
            <w:col w:w="9360"/>
          </w:cols>
          <w:pgMar w:left="1440" w:top="1378" w:right="1440" w:bottom="907" w:gutter="0" w:footer="0" w:header="0"/>
        </w:sectPr>
      </w:pPr>
    </w:p>
    <w:bookmarkStart w:id="52" w:name="page53"/>
    <w:bookmarkEnd w:id="52"/>
    <w:p>
      <w:pPr>
        <w:ind w:right="180"/>
        <w:spacing w:after="0" w:line="278" w:lineRule="auto"/>
        <w:rPr>
          <w:sz w:val="20"/>
          <w:szCs w:val="20"/>
          <w:color w:val="auto"/>
        </w:rPr>
      </w:pPr>
      <w:r>
        <w:rPr>
          <w:rFonts w:ascii="Times New Roman" w:cs="Times New Roman" w:eastAsia="Times New Roman" w:hAnsi="Times New Roman"/>
          <w:sz w:val="19"/>
          <w:szCs w:val="19"/>
          <w:color w:val="auto"/>
        </w:rPr>
        <w:t>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4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NDA or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69"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20"/>
          <w:szCs w:val="20"/>
          <w:color w:val="auto"/>
        </w:rPr>
        <w:t>In addition, drug manufacturers are subject to payment of user fees and continual review and periodic inspections by the FDA and other regulatory authorities for compliance with cGMP requirements and adherence to commitments made in the NDA,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73" w:lineRule="exact"/>
        <w:rPr>
          <w:sz w:val="20"/>
          <w:szCs w:val="20"/>
          <w:color w:val="auto"/>
        </w:rPr>
      </w:pPr>
    </w:p>
    <w:p>
      <w:pPr>
        <w:ind w:right="200" w:firstLine="450"/>
        <w:spacing w:after="0" w:line="281" w:lineRule="auto"/>
        <w:rPr>
          <w:sz w:val="20"/>
          <w:szCs w:val="20"/>
          <w:color w:val="auto"/>
        </w:rPr>
      </w:pPr>
      <w:r>
        <w:rPr>
          <w:rFonts w:ascii="Times New Roman" w:cs="Times New Roman" w:eastAsia="Times New Roman" w:hAnsi="Times New Roman"/>
          <w:sz w:val="20"/>
          <w:szCs w:val="20"/>
          <w:color w:val="auto"/>
        </w:rPr>
        <w:t>If we fail to comply with applicable regulatory requirements following approval of any product candidates, a regulatory authority may:</w:t>
      </w:r>
    </w:p>
    <w:p>
      <w:pPr>
        <w:spacing w:after="0" w:line="141" w:lineRule="exact"/>
        <w:rPr>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 deficiency letter, untitled letter or warning letter asserting that we are in violation of the law;</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an injunction or impose administrative, civil or criminal penalties or monetary fines;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or withdraw regulatory approval;</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any ongoing clinical trials;</w:t>
      </w:r>
    </w:p>
    <w:p>
      <w:pPr>
        <w:spacing w:after="0" w:line="130" w:lineRule="exact"/>
        <w:rPr>
          <w:rFonts w:ascii="Times New Roman" w:cs="Times New Roman" w:eastAsia="Times New Roman" w:hAnsi="Times New Roman"/>
          <w:sz w:val="20"/>
          <w:szCs w:val="20"/>
          <w:color w:val="auto"/>
        </w:rPr>
      </w:pPr>
    </w:p>
    <w:p>
      <w:pPr>
        <w:jc w:val="both"/>
        <w:ind w:left="1260" w:right="500" w:hanging="720"/>
        <w:spacing w:after="0" w:line="266" w:lineRule="auto"/>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approve a pending marketing application or supplement to an approved application or comparable foreign marketing application (or any supplements thereto) submitted by us or our strategic partners;</w:t>
      </w:r>
    </w:p>
    <w:p>
      <w:pPr>
        <w:spacing w:after="0" w:line="75"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the marketing or manufacturing of the drug;</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seize or detain the drug or otherwise require the withdrawal of the drug from the market;</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permit the import or export of products or product candidates; or</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allow us to enter into supply contracts, including government contracts.</w:t>
      </w:r>
    </w:p>
    <w:p>
      <w:pPr>
        <w:spacing w:after="0" w:line="210"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and harm our business, financial condition, results of operations and prospects.</w:t>
      </w:r>
    </w:p>
    <w:p>
      <w:pPr>
        <w:spacing w:after="0" w:line="154" w:lineRule="exact"/>
        <w:rPr>
          <w:sz w:val="20"/>
          <w:szCs w:val="20"/>
          <w:color w:val="auto"/>
        </w:rPr>
      </w:pPr>
    </w:p>
    <w:p>
      <w:pPr>
        <w:ind w:left="480"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Even if we obtain FDA, MHRA or EMA approval for any product candidates we may seek to develop in the United States or European Union, we may never obtain approval for or commercialize any of them in any other jurisdiction, which would limit our ability to realize their full market potential.</w:t>
      </w:r>
    </w:p>
    <w:p>
      <w:pPr>
        <w:spacing w:after="0" w:line="156" w:lineRule="exact"/>
        <w:rPr>
          <w:sz w:val="20"/>
          <w:szCs w:val="20"/>
          <w:color w:val="auto"/>
        </w:rPr>
      </w:pPr>
    </w:p>
    <w:p>
      <w:pPr>
        <w:ind w:right="320" w:firstLine="450"/>
        <w:spacing w:after="0" w:line="281" w:lineRule="auto"/>
        <w:rPr>
          <w:sz w:val="20"/>
          <w:szCs w:val="20"/>
          <w:color w:val="auto"/>
        </w:rPr>
      </w:pPr>
      <w:r>
        <w:rPr>
          <w:rFonts w:ascii="Times New Roman" w:cs="Times New Roman" w:eastAsia="Times New Roman" w:hAnsi="Times New Roman"/>
          <w:sz w:val="20"/>
          <w:szCs w:val="20"/>
          <w:color w:val="auto"/>
        </w:rPr>
        <w:t>In order to market any products in any particular jurisdiction, we must establish and comply with numerous and varying regulatory requirements on a country-by-country basis regarding safety and efficacy.</w:t>
      </w:r>
    </w:p>
    <w:p>
      <w:pPr>
        <w:sectPr>
          <w:pgSz w:w="12240" w:h="15840" w:orient="portrait"/>
          <w:cols w:equalWidth="0" w:num="1">
            <w:col w:w="9360"/>
          </w:cols>
          <w:pgMar w:left="1440" w:top="1378" w:right="1440" w:bottom="1159" w:gutter="0" w:footer="0" w:header="0"/>
        </w:sectPr>
      </w:pPr>
    </w:p>
    <w:bookmarkStart w:id="53" w:name="page54"/>
    <w:bookmarkEnd w:id="53"/>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64"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foreign markets, and we do not have experience in obtaining regulatory approval in any jurisdiction, including in foreign markets. If we fail to comply with regulatory requirements in foreign markets or to obtain and maintain required approvals, or if regulatory approvals in foreign markets are delayed, our target market will be reduced and our ability to realize the full market potential of any product we seek to develop will be unrealized.</w:t>
      </w:r>
    </w:p>
    <w:p>
      <w:pPr>
        <w:spacing w:after="0" w:line="166" w:lineRule="exact"/>
        <w:rPr>
          <w:sz w:val="20"/>
          <w:szCs w:val="20"/>
          <w:color w:val="auto"/>
        </w:rPr>
      </w:pPr>
    </w:p>
    <w:p>
      <w:pPr>
        <w:ind w:left="480"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or regulatory reform measures may have a negative impact on our business and results of operations.</w:t>
      </w:r>
    </w:p>
    <w:p>
      <w:pPr>
        <w:spacing w:after="0" w:line="137"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63" w:lineRule="exact"/>
        <w:rPr>
          <w:sz w:val="20"/>
          <w:szCs w:val="20"/>
          <w:color w:val="auto"/>
        </w:rPr>
      </w:pPr>
    </w:p>
    <w:p>
      <w:pPr>
        <w:ind w:firstLine="450"/>
        <w:spacing w:after="0" w:line="236" w:lineRule="auto"/>
        <w:rPr>
          <w:sz w:val="20"/>
          <w:szCs w:val="20"/>
          <w:color w:val="auto"/>
        </w:rPr>
      </w:pPr>
      <w:r>
        <w:rPr>
          <w:rFonts w:ascii="Times New Roman" w:cs="Times New Roman" w:eastAsia="Times New Roman" w:hAnsi="Times New Roman"/>
          <w:sz w:val="20"/>
          <w:szCs w:val="20"/>
          <w:color w:val="auto"/>
        </w:rPr>
        <w:t>Among policy makers and payors in the United States and elsewhere, there has been significant interest in promoting changes in healthcare systems with the stated goals of containing healthcare costs, improving quality and/ or expanding access. 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OBBBA was signed into law, which narrowed access to ACA marketplace exchange enrollment and declined to extend the ACA enhanced advanced premium tax credits that expired at the end of 2025, which, among</w:t>
      </w:r>
    </w:p>
    <w:p>
      <w:pPr>
        <w:spacing w:after="0" w:line="1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0"/>
          <w:szCs w:val="20"/>
          <w:color w:val="auto"/>
        </w:rPr>
        <w:t>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68"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20"/>
          <w:szCs w:val="20"/>
          <w:color w:val="auto"/>
        </w:rPr>
        <w:t>There have been amendments to executive, judicial and congressional challenges to certain aspects of the ACA. These changes include aggregate reductions to Medicare payments to providers of 2% per fiscal year, which began in 2013 and will remain in effect until 2032 unless additional Congressional action is taken.</w:t>
      </w:r>
    </w:p>
    <w:p>
      <w:pPr>
        <w:spacing w:after="0" w:line="156" w:lineRule="exact"/>
        <w:rPr>
          <w:sz w:val="20"/>
          <w:szCs w:val="20"/>
          <w:color w:val="auto"/>
        </w:rPr>
      </w:pPr>
    </w:p>
    <w:p>
      <w:pPr>
        <w:ind w:firstLine="450"/>
        <w:spacing w:after="0" w:line="272" w:lineRule="auto"/>
        <w:rPr>
          <w:sz w:val="20"/>
          <w:szCs w:val="20"/>
          <w:color w:val="auto"/>
        </w:rPr>
      </w:pPr>
      <w:r>
        <w:rPr>
          <w:rFonts w:ascii="Times New Roman" w:cs="Times New Roman" w:eastAsia="Times New Roman" w:hAnsi="Times New Roman"/>
          <w:sz w:val="19"/>
          <w:szCs w:val="19"/>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w:t>
      </w:r>
    </w:p>
    <w:p>
      <w:pPr>
        <w:sectPr>
          <w:pgSz w:w="12240" w:h="15840" w:orient="portrait"/>
          <w:cols w:equalWidth="0" w:num="1">
            <w:col w:w="9360"/>
          </w:cols>
          <w:pgMar w:left="1440" w:top="1378" w:right="1440" w:bottom="975"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20"/>
          <w:szCs w:val="20"/>
          <w:color w:val="auto"/>
        </w:rPr>
        <w:t>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Program.We cannot predict which additional measures may be adopted or the impact of current and additional measures on the marketing, pricing and demand for our product candidates, if approved, which could have a material adverse effect on our business, financial condition and results of operations. 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170" w:lineRule="exact"/>
        <w:rPr>
          <w:sz w:val="20"/>
          <w:szCs w:val="20"/>
          <w:color w:val="auto"/>
        </w:rPr>
      </w:pPr>
    </w:p>
    <w:p>
      <w:pPr>
        <w:ind w:left="1260" w:hanging="720"/>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clinical trials to be conducted prior to obtaining approval;</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manufacturing methods;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recalls, replacements, or discontinuance of one or more of our products; and</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recordkeeping.</w:t>
      </w:r>
    </w:p>
    <w:p>
      <w:pPr>
        <w:spacing w:after="0" w:line="210"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20"/>
          <w:szCs w:val="20"/>
          <w:color w:val="auto"/>
        </w:rPr>
        <w:t>Further, the standards that the FDA and comparable foreign regulatory authorities use require judgment and can change, which makes it difficult to predict with certainty their application.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the impact of such changes, if any.</w:t>
      </w:r>
    </w:p>
    <w:p>
      <w:pPr>
        <w:spacing w:after="0" w:line="168" w:lineRule="exact"/>
        <w:rPr>
          <w:sz w:val="20"/>
          <w:szCs w:val="20"/>
          <w:color w:val="auto"/>
        </w:rPr>
      </w:pPr>
    </w:p>
    <w:p>
      <w:pPr>
        <w:ind w:right="140" w:firstLine="450"/>
        <w:spacing w:after="0" w:line="260" w:lineRule="auto"/>
        <w:rPr>
          <w:sz w:val="20"/>
          <w:szCs w:val="20"/>
          <w:color w:val="auto"/>
        </w:rPr>
      </w:pPr>
      <w:r>
        <w:rPr>
          <w:rFonts w:ascii="Times New Roman" w:cs="Times New Roman" w:eastAsia="Times New Roman" w:hAnsi="Times New Roman"/>
          <w:sz w:val="20"/>
          <w:szCs w:val="20"/>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clearances or approvals for any products would harm our business, financial condition, and results of operations.</w:t>
      </w:r>
    </w:p>
    <w:p>
      <w:pPr>
        <w:spacing w:after="0" w:line="154" w:lineRule="exact"/>
        <w:rPr>
          <w:sz w:val="20"/>
          <w:szCs w:val="20"/>
          <w:color w:val="auto"/>
        </w:rPr>
      </w:pPr>
    </w:p>
    <w:p>
      <w:pPr>
        <w:ind w:left="480"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the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61" w:lineRule="exact"/>
        <w:rPr>
          <w:sz w:val="20"/>
          <w:szCs w:val="20"/>
          <w:color w:val="auto"/>
        </w:rPr>
      </w:pPr>
    </w:p>
    <w:p>
      <w:pPr>
        <w:ind w:right="60" w:firstLine="450"/>
        <w:spacing w:after="0" w:line="271" w:lineRule="auto"/>
        <w:rPr>
          <w:sz w:val="20"/>
          <w:szCs w:val="20"/>
          <w:color w:val="auto"/>
        </w:rPr>
      </w:pPr>
      <w:r>
        <w:rPr>
          <w:rFonts w:ascii="Times New Roman" w:cs="Times New Roman" w:eastAsia="Times New Roman" w:hAnsi="Times New Roman"/>
          <w:sz w:val="19"/>
          <w:szCs w:val="19"/>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data about trial participants in connection with clinical trials, intellectual property sensitive third-party data and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w:t>
      </w:r>
    </w:p>
    <w:p>
      <w:pPr>
        <w:sectPr>
          <w:pgSz w:w="12240" w:h="15840" w:orient="portrait"/>
          <w:cols w:equalWidth="0" w:num="1">
            <w:col w:w="9360"/>
          </w:cols>
          <w:pgMar w:left="1440" w:top="1378" w:right="1440" w:bottom="922" w:gutter="0" w:footer="0" w:header="0"/>
        </w:sectPr>
      </w:pPr>
    </w:p>
    <w:bookmarkStart w:id="55" w:name="page56"/>
    <w:bookmarkEnd w:id="55"/>
    <w:p>
      <w:pPr>
        <w:jc w:val="both"/>
        <w:ind w:right="480"/>
        <w:spacing w:after="0" w:line="266" w:lineRule="auto"/>
        <w:rPr>
          <w:sz w:val="20"/>
          <w:szCs w:val="20"/>
          <w:color w:val="auto"/>
        </w:rPr>
      </w:pPr>
      <w:r>
        <w:rPr>
          <w:rFonts w:ascii="Times New Roman" w:cs="Times New Roman" w:eastAsia="Times New Roman" w:hAnsi="Times New Roman"/>
          <w:sz w:val="20"/>
          <w:szCs w:val="20"/>
          <w:color w:val="auto"/>
        </w:rPr>
        <w:t>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55"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are increasingly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70" w:lineRule="exact"/>
        <w:rPr>
          <w:sz w:val="20"/>
          <w:szCs w:val="20"/>
          <w:color w:val="auto"/>
        </w:rPr>
      </w:pPr>
    </w:p>
    <w:p>
      <w:pPr>
        <w:ind w:firstLine="450"/>
        <w:spacing w:after="0" w:line="239" w:lineRule="auto"/>
        <w:rPr>
          <w:sz w:val="20"/>
          <w:szCs w:val="20"/>
          <w:color w:val="auto"/>
        </w:rPr>
      </w:pPr>
      <w:r>
        <w:rPr>
          <w:rFonts w:ascii="Times New Roman" w:cs="Times New Roman" w:eastAsia="Times New Roman" w:hAnsi="Times New Roman"/>
          <w:sz w:val="20"/>
          <w:szCs w:val="20"/>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65"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rely on third parties and technologies to operate critical business systems to process sensitive information in a variety of contexts, including, without limitation, encryption and authentication technology, employee email and other functions. We also rely on third-party service providers to provide other products, services or otherwise to operate our business.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supply chains of the third parties with whom we work have not been or will not be compromised.</w:t>
      </w:r>
    </w:p>
    <w:p>
      <w:pPr>
        <w:spacing w:after="0" w:line="176"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9"/>
          <w:szCs w:val="19"/>
          <w:color w:val="auto"/>
        </w:rPr>
        <w:t>Certain of the previously identified or similar threats have in the past and could in the future cause a security incident or other interruption that have in the past and could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and unsuccessful attempts to impersonate key personnel in email in the past, and we expect such attempts will continue in the future. A security incident or other interruption could disrupt our ability (and that of third parties with whom we work) to provide our services. We expend significant resources and we may have to modify our business activities (including our clinical trial activities) to try to protect against security incidents. Certain data privacy and security obligations require us to implement and maintain specific security measures to protect our information technology systems and sensitive information.</w:t>
      </w:r>
    </w:p>
    <w:p>
      <w:pPr>
        <w:sectPr>
          <w:pgSz w:w="12240" w:h="15840" w:orient="portrait"/>
          <w:cols w:equalWidth="0" w:num="1">
            <w:col w:w="9360"/>
          </w:cols>
          <w:pgMar w:left="1440" w:top="1378" w:right="1440" w:bottom="1440" w:gutter="0" w:footer="0" w:header="0"/>
        </w:sectPr>
      </w:pPr>
    </w:p>
    <w:bookmarkStart w:id="56" w:name="page57"/>
    <w:bookmarkEnd w:id="56"/>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64"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or software, including that of third parties with whom we work), but we have not in the past and may not in the future be able to detect and remediate all vulnerabilities, including on a timely basis. Further, we have (and may in the future) experienced delays in developing and deploying remedial measures designed to address any such identified vulnerabilities. Vulnerabilities could be exploited and result in a security incident.</w:t>
      </w:r>
    </w:p>
    <w:p>
      <w:pPr>
        <w:spacing w:after="0" w:line="170"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w:t>
      </w:r>
    </w:p>
    <w:p>
      <w:pPr>
        <w:spacing w:after="0" w:line="17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Some of our contracts do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8" w:lineRule="exact"/>
        <w:rPr>
          <w:sz w:val="20"/>
          <w:szCs w:val="20"/>
          <w:color w:val="auto"/>
        </w:rPr>
      </w:pPr>
    </w:p>
    <w:p>
      <w:pPr>
        <w:ind w:right="160" w:firstLine="450"/>
        <w:spacing w:after="0" w:line="249"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47"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variety of stringent and evolving U.S. and foreign laws, regulations, rules, contractual obligations, policies and other obligations related to data privacy and data security, and our actual or perceived failure to comply with them could lead to regulatory investigations or actions; litigation; fines and penalties; disruptions of our business operations; reputational harm; loss of revenue or profits and other adverse business consequences.</w:t>
      </w:r>
    </w:p>
    <w:p>
      <w:pPr>
        <w:spacing w:after="0" w:line="168"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20"/>
          <w:szCs w:val="20"/>
          <w:color w:val="auto"/>
        </w:rPr>
        <w:t>In the ordinary course of business, we collect, receive, store, process, generate, use, transfer, disclose, make accessible, protect, secure, dispose of, transmit, and share (collectively, process) personal data and other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w:t>
      </w:r>
    </w:p>
    <w:p>
      <w:pPr>
        <w:sectPr>
          <w:pgSz w:w="12240" w:h="15840" w:orient="portrait"/>
          <w:cols w:equalWidth="0" w:num="1">
            <w:col w:w="9360"/>
          </w:cols>
          <w:pgMar w:left="1440" w:top="1378" w:right="1440" w:bottom="993"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20"/>
          <w:szCs w:val="20"/>
          <w:color w:val="auto"/>
        </w:rPr>
        <w:t>residents with rights concerning their personal data. For example, the California Consumer Privacy Act of 2018, or the CCPA, as amended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per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Other states have also passed or are considering comprehensive privacy laws, and similar laws are being considered at the federal and local levels. These developments may further complicate compliance efforts and may increase legal risk and compliance costs for us and the third parties with whom we work.</w:t>
      </w:r>
    </w:p>
    <w:p>
      <w:pPr>
        <w:spacing w:after="0" w:line="173" w:lineRule="exact"/>
        <w:rPr>
          <w:sz w:val="20"/>
          <w:szCs w:val="20"/>
          <w:color w:val="auto"/>
        </w:rPr>
      </w:pPr>
    </w:p>
    <w:p>
      <w:pPr>
        <w:ind w:right="140" w:firstLine="450"/>
        <w:spacing w:after="0" w:line="239" w:lineRule="auto"/>
        <w:rPr>
          <w:sz w:val="20"/>
          <w:szCs w:val="20"/>
          <w:color w:val="auto"/>
        </w:rPr>
      </w:pPr>
      <w:r>
        <w:rPr>
          <w:rFonts w:ascii="Times New Roman" w:cs="Times New Roman" w:eastAsia="Times New Roman" w:hAnsi="Times New Roman"/>
          <w:sz w:val="20"/>
          <w:szCs w:val="20"/>
          <w:color w:val="auto"/>
        </w:rPr>
        <w:t>We are also bound by contractual obligations related to data privacy and security, and our efforts to comply with such obligations may not be successful. For example, certain privacy laws, such as the UK GDPR and the CCPA, require our customers to impose specific contractual restrictions on their service providers. 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misleading, unfair or misrepresentative of our practices, we may be subject to investigation, enforcement actions by regulators or other adverse consequences.</w:t>
      </w:r>
    </w:p>
    <w:p>
      <w:pPr>
        <w:spacing w:after="0" w:line="165"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any products, expenditure of time and resources to defend any claim or inquiry, adverse publicity or substantial changes to our business model or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60" w:lineRule="exact"/>
        <w:rPr>
          <w:sz w:val="20"/>
          <w:szCs w:val="20"/>
          <w:color w:val="auto"/>
        </w:rPr>
      </w:pPr>
    </w:p>
    <w:p>
      <w:pPr>
        <w:ind w:left="480" w:right="3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156" w:lineRule="exact"/>
        <w:rPr>
          <w:sz w:val="20"/>
          <w:szCs w:val="20"/>
          <w:color w:val="auto"/>
        </w:rPr>
      </w:pPr>
    </w:p>
    <w:p>
      <w:pPr>
        <w:ind w:right="20" w:firstLine="450"/>
        <w:spacing w:after="0" w:line="269" w:lineRule="auto"/>
        <w:rPr>
          <w:sz w:val="20"/>
          <w:szCs w:val="20"/>
          <w:color w:val="auto"/>
        </w:rPr>
      </w:pPr>
      <w:r>
        <w:rPr>
          <w:rFonts w:ascii="Times New Roman" w:cs="Times New Roman" w:eastAsia="Times New Roman" w:hAnsi="Times New Roman"/>
          <w:sz w:val="19"/>
          <w:szCs w:val="19"/>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could involve the use of hazardous and flammable materials, including chemicals and biological materials. Our operations could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w:t>
      </w:r>
    </w:p>
    <w:p>
      <w:pPr>
        <w:sectPr>
          <w:pgSz w:w="12240" w:h="15840" w:orient="portrait"/>
          <w:cols w:equalWidth="0" w:num="1">
            <w:col w:w="9360"/>
          </w:cols>
          <w:pgMar w:left="1440" w:top="1378" w:right="1440" w:bottom="925" w:gutter="0" w:footer="0" w:header="0"/>
        </w:sectPr>
      </w:pPr>
    </w:p>
    <w:bookmarkStart w:id="58" w:name="page59"/>
    <w:bookmarkEnd w:id="58"/>
    <w:p>
      <w:pPr>
        <w:jc w:val="both"/>
        <w:ind w:right="460"/>
        <w:spacing w:after="0" w:line="309" w:lineRule="auto"/>
        <w:rPr>
          <w:sz w:val="20"/>
          <w:szCs w:val="20"/>
          <w:color w:val="auto"/>
        </w:rPr>
      </w:pPr>
      <w:r>
        <w:rPr>
          <w:rFonts w:ascii="Times New Roman" w:cs="Times New Roman" w:eastAsia="Times New Roman" w:hAnsi="Times New Roman"/>
          <w:sz w:val="19"/>
          <w:szCs w:val="19"/>
          <w:color w:val="auto"/>
        </w:rPr>
        <w:t>laws, we could be held responsible for costs relating to any contamination at our current or past facilities and at third-party facilities. We also could incur significant costs associated with civil or criminal fines and penalties.</w:t>
      </w:r>
    </w:p>
    <w:p>
      <w:pPr>
        <w:spacing w:after="0" w:line="117"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our Growth</w:t>
      </w:r>
    </w:p>
    <w:p>
      <w:pPr>
        <w:spacing w:after="0" w:line="208" w:lineRule="exact"/>
        <w:rPr>
          <w:sz w:val="20"/>
          <w:szCs w:val="20"/>
          <w:color w:val="auto"/>
        </w:rPr>
      </w:pPr>
    </w:p>
    <w:p>
      <w:pPr>
        <w:ind w:left="480" w:right="6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137"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55"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Recruiting and retaining qualified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may also experience competition for the hiring of scientific and clinical personnel from universities and research institutions. In addition, we rely on consultants and advisors, including scientific and clinical advisors, to assist us, including in formulating our development and commercialization strategy for any product candidates we may seek to develop.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strategy will be limited.</w:t>
      </w:r>
    </w:p>
    <w:p>
      <w:pPr>
        <w:spacing w:after="0" w:line="170" w:lineRule="exact"/>
        <w:rPr>
          <w:sz w:val="20"/>
          <w:szCs w:val="20"/>
          <w:color w:val="auto"/>
        </w:rPr>
      </w:pPr>
    </w:p>
    <w:p>
      <w:pPr>
        <w:ind w:left="480"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resources may not be sufficient to manage our future growth; failure to properly manage our potential growth could disrupt our operations and adversely affect our business, financial condition, results of operations and prospects.</w:t>
      </w:r>
    </w:p>
    <w:p>
      <w:pPr>
        <w:spacing w:after="0" w:line="156" w:lineRule="exact"/>
        <w:rPr>
          <w:sz w:val="20"/>
          <w:szCs w:val="20"/>
          <w:color w:val="auto"/>
        </w:rPr>
      </w:pPr>
    </w:p>
    <w:p>
      <w:pPr>
        <w:ind w:right="80" w:firstLine="450"/>
        <w:spacing w:after="0" w:line="267" w:lineRule="auto"/>
        <w:rPr>
          <w:sz w:val="20"/>
          <w:szCs w:val="20"/>
          <w:color w:val="auto"/>
        </w:rPr>
      </w:pPr>
      <w:r>
        <w:rPr>
          <w:rFonts w:ascii="Times New Roman" w:cs="Times New Roman" w:eastAsia="Times New Roman" w:hAnsi="Times New Roman"/>
          <w:sz w:val="19"/>
          <w:szCs w:val="19"/>
          <w:color w:val="auto"/>
        </w:rPr>
        <w:t>Even if we obtain funding for operations, we may fail to adequately manage our future growth. As and to the extent we are successful in licensing or otherwise acquiring and developing new product candidates, we expect to experience significant growth and change in the scope of our operations, particularly in the areas of clinical product development, regulatory affairs, manufacturing and, if any of our product candidates receives marketing approval, sales, marketing and distribution. Any change in our operations may place a significant strain on our administrative, financial and operational resources, and increase demands on our management, as well as our operational and administrative systems, controls and other resources. There can be no assurances that our existing personnel, systems, procedures or controls will be adequate to support our operations in the future; or that we will be able to successfully implement appropriate measures consistent with our strategy. To strategically manage our future growth, we must continue to implement and improve our managerial, operational and financial systems, expand our facilities and continue to recruit, train and retain additional personnel. Due to our limited financial resources and the limited experience of our management team in managing a company with such potential future growth, we may not be able to effectively manage the strategic expansion of our operations, manage our employee base or recruit, train</w:t>
      </w:r>
    </w:p>
    <w:p>
      <w:pPr>
        <w:sectPr>
          <w:pgSz w:w="12240" w:h="15840" w:orient="portrait"/>
          <w:cols w:equalWidth="0" w:num="1">
            <w:col w:w="9360"/>
          </w:cols>
          <w:pgMar w:left="1440" w:top="1378" w:right="1440" w:bottom="937" w:gutter="0" w:footer="0" w:header="0"/>
        </w:sectPr>
      </w:pPr>
    </w:p>
    <w:bookmarkStart w:id="59" w:name="page60"/>
    <w:bookmarkEnd w:id="59"/>
    <w:p>
      <w:pPr>
        <w:ind w:right="200"/>
        <w:spacing w:after="0" w:line="266" w:lineRule="auto"/>
        <w:rPr>
          <w:sz w:val="20"/>
          <w:szCs w:val="20"/>
          <w:color w:val="auto"/>
        </w:rPr>
      </w:pPr>
      <w:r>
        <w:rPr>
          <w:rFonts w:ascii="Times New Roman" w:cs="Times New Roman" w:eastAsia="Times New Roman" w:hAnsi="Times New Roman"/>
          <w:sz w:val="20"/>
          <w:szCs w:val="20"/>
          <w:color w:val="auto"/>
        </w:rPr>
        <w:t>and retain additional personnel. Our failure to properly manage our potential growth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ind w:left="480" w:right="2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56"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 and our Status as a Public Company</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continue to be developed or sustained.</w:t>
      </w:r>
    </w:p>
    <w:p>
      <w:pPr>
        <w:spacing w:after="0" w:line="219"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Our common stock is listed on The Nasdaq Stock Market LLC. If an active trading market for our shares does not continue to be developed or sustained, it may be difficult for you to sell shares of our common stock at an attractive price or at all.</w:t>
      </w:r>
    </w:p>
    <w:p>
      <w:pPr>
        <w:spacing w:after="0" w:line="146" w:lineRule="exact"/>
        <w:rPr>
          <w:sz w:val="20"/>
          <w:szCs w:val="20"/>
          <w:color w:val="auto"/>
        </w:rPr>
      </w:pPr>
    </w:p>
    <w:p>
      <w:pPr>
        <w:ind w:left="480"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the shares of our common stock has been and may continue to be very volatile, and purchasers of our common stock could incur substantial losses.</w:t>
      </w:r>
    </w:p>
    <w:p>
      <w:pPr>
        <w:spacing w:after="0" w:line="138"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Our stock price has been and may continue to be very volatile. The stock market in general and the market for smaller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64" w:lineRule="exact"/>
        <w:rPr>
          <w:sz w:val="20"/>
          <w:szCs w:val="20"/>
          <w:color w:val="auto"/>
        </w:rPr>
      </w:pPr>
    </w:p>
    <w:p>
      <w:pPr>
        <w:ind w:left="1260" w:right="820" w:hanging="720"/>
        <w:spacing w:after="0" w:line="281" w:lineRule="auto"/>
        <w:tabs>
          <w:tab w:leader="none" w:pos="12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license-in or otherwise acquire any new product candidates and the perceived attractiveness of any such product candidates;</w:t>
      </w:r>
    </w:p>
    <w:p>
      <w:pPr>
        <w:spacing w:after="0" w:line="61" w:lineRule="exact"/>
        <w:rPr>
          <w:rFonts w:ascii="Times New Roman" w:cs="Times New Roman" w:eastAsia="Times New Roman" w:hAnsi="Times New Roman"/>
          <w:sz w:val="20"/>
          <w:szCs w:val="20"/>
          <w:color w:val="auto"/>
        </w:rPr>
      </w:pPr>
    </w:p>
    <w:p>
      <w:pPr>
        <w:ind w:left="1260" w:right="100" w:hanging="720"/>
        <w:spacing w:after="0" w:line="281" w:lineRule="auto"/>
        <w:tabs>
          <w:tab w:leader="none" w:pos="12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enrollment or results of any future clinical trials we may conduct, or changes in the development status of any product candidates we may seek to develop;</w:t>
      </w:r>
    </w:p>
    <w:p>
      <w:pPr>
        <w:spacing w:after="0" w:line="61" w:lineRule="exact"/>
        <w:rPr>
          <w:rFonts w:ascii="Times New Roman" w:cs="Times New Roman" w:eastAsia="Times New Roman" w:hAnsi="Times New Roman"/>
          <w:sz w:val="20"/>
          <w:szCs w:val="20"/>
          <w:color w:val="auto"/>
        </w:rPr>
      </w:pPr>
    </w:p>
    <w:p>
      <w:pPr>
        <w:ind w:left="1260" w:right="360" w:hanging="720"/>
        <w:spacing w:after="0" w:line="309" w:lineRule="auto"/>
        <w:tabs>
          <w:tab w:leader="none" w:pos="12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delay in our regulatory filings for any product candidate we may seek to develop, and any adverse development or perceived adverse development with respect to the applicable regulatory</w:t>
      </w:r>
    </w:p>
    <w:p>
      <w:pPr>
        <w:sectPr>
          <w:pgSz w:w="12240" w:h="15840" w:orient="portrait"/>
          <w:cols w:equalWidth="0" w:num="1">
            <w:col w:w="9360"/>
          </w:cols>
          <w:pgMar w:left="1440" w:top="1378" w:right="1440" w:bottom="1440" w:gutter="0" w:footer="0" w:header="0"/>
        </w:sectPr>
      </w:pPr>
    </w:p>
    <w:bookmarkStart w:id="60" w:name="page61"/>
    <w:bookmarkEnd w:id="60"/>
    <w:p>
      <w:pPr>
        <w:ind w:left="1260" w:right="240"/>
        <w:spacing w:after="0" w:line="281" w:lineRule="auto"/>
        <w:rPr>
          <w:sz w:val="20"/>
          <w:szCs w:val="20"/>
          <w:color w:val="auto"/>
        </w:rPr>
      </w:pPr>
      <w:r>
        <w:rPr>
          <w:rFonts w:ascii="Times New Roman" w:cs="Times New Roman" w:eastAsia="Times New Roman" w:hAnsi="Times New Roman"/>
          <w:sz w:val="20"/>
          <w:szCs w:val="20"/>
          <w:color w:val="auto"/>
        </w:rPr>
        <w:t>authority’s review of such filings, including without limitation the FDA’s issuance of a “refusal to file” letter or a request for additional information;</w:t>
      </w:r>
    </w:p>
    <w:p>
      <w:pPr>
        <w:spacing w:after="0" w:line="61" w:lineRule="exact"/>
        <w:rPr>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or termination of clinical trials;</w:t>
      </w:r>
    </w:p>
    <w:p>
      <w:pPr>
        <w:spacing w:after="0" w:line="130" w:lineRule="exact"/>
        <w:rPr>
          <w:rFonts w:ascii="Times New Roman" w:cs="Times New Roman" w:eastAsia="Times New Roman" w:hAnsi="Times New Roman"/>
          <w:sz w:val="20"/>
          <w:szCs w:val="20"/>
          <w:color w:val="auto"/>
        </w:rPr>
      </w:pPr>
    </w:p>
    <w:p>
      <w:pPr>
        <w:ind w:left="1260" w:right="760" w:hanging="720"/>
        <w:spacing w:after="0" w:line="281" w:lineRule="auto"/>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regulatory decisions, including failure to receive regulatory approval of our product candidates;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serious safety concerns related to the use of any product candidate;</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by us or by any equity research analysts who might cover our stock;</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or trends in our industry;</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0" w:lineRule="exact"/>
        <w:rPr>
          <w:rFonts w:ascii="Times New Roman" w:cs="Times New Roman" w:eastAsia="Times New Roman" w:hAnsi="Times New Roman"/>
          <w:sz w:val="20"/>
          <w:szCs w:val="20"/>
          <w:color w:val="auto"/>
        </w:rPr>
      </w:pPr>
    </w:p>
    <w:p>
      <w:pPr>
        <w:ind w:left="1260" w:right="360" w:hanging="720"/>
        <w:spacing w:after="0" w:line="281" w:lineRule="auto"/>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our competitors with respect to competing product candidates or new product candidates or technologies, or the results of clinical trials or regulatory decisions;</w:t>
      </w:r>
    </w:p>
    <w:p>
      <w:pPr>
        <w:spacing w:after="0" w:line="61" w:lineRule="exact"/>
        <w:rPr>
          <w:rFonts w:ascii="Times New Roman" w:cs="Times New Roman" w:eastAsia="Times New Roman" w:hAnsi="Times New Roman"/>
          <w:sz w:val="20"/>
          <w:szCs w:val="20"/>
          <w:color w:val="auto"/>
        </w:rPr>
      </w:pPr>
    </w:p>
    <w:p>
      <w:pPr>
        <w:ind w:left="1260" w:right="260" w:hanging="720"/>
        <w:spacing w:after="0" w:line="281" w:lineRule="auto"/>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market price and volume fluctuations of comparable companies and, in particular, those that operate in the biopharmaceutical industry;</w:t>
      </w:r>
    </w:p>
    <w:p>
      <w:pPr>
        <w:spacing w:after="0" w:line="61" w:lineRule="exact"/>
        <w:rPr>
          <w:rFonts w:ascii="Times New Roman" w:cs="Times New Roman" w:eastAsia="Times New Roman" w:hAnsi="Times New Roman"/>
          <w:sz w:val="20"/>
          <w:szCs w:val="20"/>
          <w:color w:val="auto"/>
        </w:rPr>
      </w:pPr>
    </w:p>
    <w:p>
      <w:pPr>
        <w:ind w:left="1260" w:right="180" w:hanging="720"/>
        <w:spacing w:after="0" w:line="281" w:lineRule="auto"/>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or our industry or positive or negative recommendations or withdrawal of research coverage by securities analysts;</w:t>
      </w:r>
    </w:p>
    <w:p>
      <w:pPr>
        <w:spacing w:after="0" w:line="61" w:lineRule="exact"/>
        <w:rPr>
          <w:rFonts w:ascii="Times New Roman" w:cs="Times New Roman" w:eastAsia="Times New Roman" w:hAnsi="Times New Roman"/>
          <w:sz w:val="20"/>
          <w:szCs w:val="20"/>
          <w:color w:val="auto"/>
        </w:rPr>
      </w:pPr>
    </w:p>
    <w:p>
      <w:pPr>
        <w:ind w:left="1260" w:right="720" w:hanging="720"/>
        <w:spacing w:after="0" w:line="281" w:lineRule="auto"/>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or divestitures, such as our recent strategic reprioritization and restructurings;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relationships with any collaborators;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of investigations or regulatory scrutiny of our operations or lawsuits filed against us;</w:t>
      </w:r>
    </w:p>
    <w:p>
      <w:pPr>
        <w:spacing w:after="0" w:line="141" w:lineRule="exact"/>
        <w:rPr>
          <w:rFonts w:ascii="Times New Roman" w:cs="Times New Roman" w:eastAsia="Times New Roman" w:hAnsi="Times New Roman"/>
          <w:sz w:val="19"/>
          <w:szCs w:val="19"/>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general perception of our company and our business;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or departure of key personnel;</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common stock;</w:t>
      </w:r>
    </w:p>
    <w:p>
      <w:pPr>
        <w:spacing w:after="0" w:line="130" w:lineRule="exact"/>
        <w:rPr>
          <w:rFonts w:ascii="Times New Roman" w:cs="Times New Roman" w:eastAsia="Times New Roman" w:hAnsi="Times New Roman"/>
          <w:sz w:val="20"/>
          <w:szCs w:val="20"/>
          <w:color w:val="auto"/>
        </w:rPr>
      </w:pPr>
    </w:p>
    <w:p>
      <w:pPr>
        <w:ind w:left="1260" w:right="40" w:hanging="720"/>
        <w:spacing w:after="0" w:line="281" w:lineRule="auto"/>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political and economic conditions, including fluctuations in interest rates and tariffs; and</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10"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The stock market in general, and the Nasdaq Stock Market and smaller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armed conflicts, supply chain disruptions, heightened inflation and fluctuations in interest rates, tariffs, recent and potential future international trade disruptions and potentially worsening global economic or geopolitical conditions,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76"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9"/>
          <w:szCs w:val="19"/>
          <w:color w:val="auto"/>
        </w:rPr>
        <w:t>In addition, in the past, stockholders have initiated class action lawsuits against pharmaceutical and biotechnology companies following periods of volatility in the market prices of these companies’ stock. This risk is especially relevant for us because pharmaceutical and biotechnology companies have experienced significant stock</w:t>
      </w:r>
    </w:p>
    <w:p>
      <w:pPr>
        <w:sectPr>
          <w:pgSz w:w="12240" w:h="15840" w:orient="portrait"/>
          <w:cols w:equalWidth="0" w:num="1">
            <w:col w:w="9360"/>
          </w:cols>
          <w:pgMar w:left="1440" w:top="1378" w:right="1440" w:bottom="836" w:gutter="0" w:footer="0" w:header="0"/>
        </w:sectPr>
      </w:pPr>
    </w:p>
    <w:bookmarkStart w:id="61" w:name="page62"/>
    <w:bookmarkEnd w:id="61"/>
    <w:p>
      <w:pPr>
        <w:ind w:right="40"/>
        <w:spacing w:after="0" w:line="258" w:lineRule="auto"/>
        <w:rPr>
          <w:sz w:val="20"/>
          <w:szCs w:val="20"/>
          <w:color w:val="auto"/>
        </w:rPr>
      </w:pPr>
      <w:r>
        <w:rPr>
          <w:rFonts w:ascii="Times New Roman" w:cs="Times New Roman" w:eastAsia="Times New Roman" w:hAnsi="Times New Roman"/>
          <w:sz w:val="20"/>
          <w:szCs w:val="20"/>
          <w:color w:val="auto"/>
        </w:rPr>
        <w:t>volatility in recent years. Recently, multiple plaintiffs’ law firms publicly issued announcements stating that they are investigating potential securities law claims on behalf of our investors. Such litigation, if instituted against us, could cause us to incur substantial costs, subject us to damages or settlement awards and divert management’s attention and resources from our business, which could materially harm our reputation, business, financial condition, results of operations and prospects.</w:t>
      </w:r>
    </w:p>
    <w:p>
      <w:pPr>
        <w:spacing w:after="0" w:line="155" w:lineRule="exact"/>
        <w:rPr>
          <w:sz w:val="20"/>
          <w:szCs w:val="20"/>
          <w:color w:val="auto"/>
        </w:rPr>
      </w:pPr>
    </w:p>
    <w:p>
      <w:pPr>
        <w:ind w:left="480"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3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trading market for our common stock is influenced by the research and reports that equity research analysts publish about us and our business.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0" w:lineRule="exact"/>
        <w:rPr>
          <w:sz w:val="20"/>
          <w:szCs w:val="20"/>
          <w:color w:val="auto"/>
        </w:rPr>
      </w:pPr>
    </w:p>
    <w:p>
      <w:pPr>
        <w:ind w:left="480"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137"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55"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In addition, we have filed registration statements on Form S-8 under the Securities Act of 1933, as amended, or the Securities Act, registering the issuance of approximately 2.0 million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w:t>
      </w:r>
    </w:p>
    <w:p>
      <w:pPr>
        <w:spacing w:after="0" w:line="164" w:lineRule="exact"/>
        <w:rPr>
          <w:sz w:val="20"/>
          <w:szCs w:val="20"/>
          <w:color w:val="auto"/>
        </w:rPr>
      </w:pPr>
    </w:p>
    <w:p>
      <w:pPr>
        <w:ind w:right="240" w:firstLine="450"/>
        <w:spacing w:after="0" w:line="281" w:lineRule="auto"/>
        <w:rPr>
          <w:sz w:val="20"/>
          <w:szCs w:val="20"/>
          <w:color w:val="auto"/>
        </w:rPr>
      </w:pPr>
      <w:r>
        <w:rPr>
          <w:rFonts w:ascii="Times New Roman" w:cs="Times New Roman" w:eastAsia="Times New Roman" w:hAnsi="Times New Roman"/>
          <w:sz w:val="20"/>
          <w:szCs w:val="20"/>
          <w:color w:val="auto"/>
        </w:rPr>
        <w:t>If these additional shares are sold, or if it is perceived that they will be sold, in the public market, the trading price of our common stock could decline.</w:t>
      </w:r>
    </w:p>
    <w:p>
      <w:pPr>
        <w:spacing w:after="0" w:line="132" w:lineRule="exact"/>
        <w:rPr>
          <w:sz w:val="20"/>
          <w:szCs w:val="20"/>
          <w:color w:val="auto"/>
        </w:rPr>
      </w:pPr>
    </w:p>
    <w:p>
      <w:pPr>
        <w:jc w:val="both"/>
        <w:ind w:left="480"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6"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charter documents also contain other provisions that could have an anti-takeover effect, including:</w:t>
      </w:r>
    </w:p>
    <w:p>
      <w:pPr>
        <w:spacing w:after="0" w:line="210" w:lineRule="exact"/>
        <w:rPr>
          <w:sz w:val="20"/>
          <w:szCs w:val="20"/>
          <w:color w:val="auto"/>
        </w:rPr>
      </w:pPr>
    </w:p>
    <w:p>
      <w:pPr>
        <w:ind w:left="1260" w:hanging="720"/>
        <w:spacing w:after="0"/>
        <w:tabs>
          <w:tab w:leader="none" w:pos="12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one of our three classes of directors will be elected each year;</w:t>
      </w:r>
    </w:p>
    <w:p>
      <w:pPr>
        <w:spacing w:after="0" w:line="130" w:lineRule="exact"/>
        <w:rPr>
          <w:rFonts w:ascii="Times New Roman" w:cs="Times New Roman" w:eastAsia="Times New Roman" w:hAnsi="Times New Roman"/>
          <w:sz w:val="20"/>
          <w:szCs w:val="20"/>
          <w:color w:val="auto"/>
        </w:rPr>
      </w:pPr>
    </w:p>
    <w:p>
      <w:pPr>
        <w:ind w:left="1260" w:right="540" w:hanging="720"/>
        <w:spacing w:after="0" w:line="281" w:lineRule="auto"/>
        <w:tabs>
          <w:tab w:leader="none" w:pos="12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will not be entitled to remove directors other than by a 66 2/3% vote and only for cause;</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will not be permitted to take actions by written consent;</w:t>
      </w:r>
    </w:p>
    <w:p>
      <w:pPr>
        <w:sectPr>
          <w:pgSz w:w="12240" w:h="15840" w:orient="portrait"/>
          <w:cols w:equalWidth="0" w:num="1">
            <w:col w:w="9360"/>
          </w:cols>
          <w:pgMar w:left="1440" w:top="1378" w:right="1440" w:bottom="1107" w:gutter="0" w:footer="0" w:header="0"/>
        </w:sectPr>
      </w:pPr>
    </w:p>
    <w:bookmarkStart w:id="62" w:name="page63"/>
    <w:bookmarkEnd w:id="62"/>
    <w:p>
      <w:pPr>
        <w:ind w:left="1260" w:hanging="720"/>
        <w:spacing w:after="0"/>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cannot call a special meeting of stockholders; and</w:t>
      </w:r>
    </w:p>
    <w:p>
      <w:pPr>
        <w:spacing w:after="0" w:line="130" w:lineRule="exact"/>
        <w:rPr>
          <w:rFonts w:ascii="Times New Roman" w:cs="Times New Roman" w:eastAsia="Times New Roman" w:hAnsi="Times New Roman"/>
          <w:sz w:val="20"/>
          <w:szCs w:val="20"/>
          <w:color w:val="auto"/>
        </w:rPr>
      </w:pPr>
    </w:p>
    <w:p>
      <w:pPr>
        <w:ind w:left="1260" w:right="40" w:hanging="720"/>
        <w:spacing w:after="0" w:line="281" w:lineRule="auto"/>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must give advance notice to nominate directors or submit proposals for consideration at stockholder meetings.</w:t>
      </w:r>
    </w:p>
    <w:p>
      <w:pPr>
        <w:spacing w:after="0" w:line="141"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0" w:lineRule="exact"/>
        <w:rPr>
          <w:sz w:val="20"/>
          <w:szCs w:val="20"/>
          <w:color w:val="auto"/>
        </w:rPr>
      </w:pPr>
    </w:p>
    <w:p>
      <w:pPr>
        <w:ind w:left="480" w:right="4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14"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Our executive officers, directors and current beneficial owners of 5% or more of our common stock and their respective affiliates beneficially own a significant portion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64" w:lineRule="exact"/>
        <w:rPr>
          <w:sz w:val="20"/>
          <w:szCs w:val="20"/>
          <w:color w:val="auto"/>
        </w:rPr>
      </w:pPr>
    </w:p>
    <w:p>
      <w:pPr>
        <w:ind w:right="100" w:firstLine="450"/>
        <w:spacing w:after="0" w:line="278" w:lineRule="auto"/>
        <w:rPr>
          <w:sz w:val="20"/>
          <w:szCs w:val="20"/>
          <w:color w:val="auto"/>
        </w:rPr>
      </w:pPr>
      <w:r>
        <w:rPr>
          <w:rFonts w:ascii="Times New Roman" w:cs="Times New Roman" w:eastAsia="Times New Roman" w:hAnsi="Times New Roman"/>
          <w:sz w:val="19"/>
          <w:szCs w:val="19"/>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39" w:lineRule="exact"/>
        <w:rPr>
          <w:sz w:val="20"/>
          <w:szCs w:val="20"/>
          <w:color w:val="auto"/>
        </w:rPr>
      </w:pPr>
    </w:p>
    <w:p>
      <w:pPr>
        <w:jc w:val="both"/>
        <w:ind w:left="480"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156"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155" w:lineRule="exact"/>
        <w:rPr>
          <w:sz w:val="20"/>
          <w:szCs w:val="20"/>
          <w:color w:val="auto"/>
        </w:rPr>
      </w:pPr>
    </w:p>
    <w:p>
      <w:pPr>
        <w:ind w:left="1260" w:right="40" w:hanging="720"/>
        <w:spacing w:after="0" w:line="266" w:lineRule="auto"/>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5" w:lineRule="exact"/>
        <w:rPr>
          <w:rFonts w:ascii="Times New Roman" w:cs="Times New Roman" w:eastAsia="Times New Roman" w:hAnsi="Times New Roman"/>
          <w:sz w:val="20"/>
          <w:szCs w:val="20"/>
          <w:color w:val="auto"/>
        </w:rPr>
      </w:pPr>
    </w:p>
    <w:p>
      <w:pPr>
        <w:ind w:left="1260" w:right="540" w:hanging="720"/>
        <w:spacing w:after="0" w:line="281" w:lineRule="auto"/>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being required to comply with the auditor attestation requirements in the assessment of our internal control over financial reporting;</w:t>
      </w:r>
    </w:p>
    <w:p>
      <w:pPr>
        <w:spacing w:after="0" w:line="61" w:lineRule="exact"/>
        <w:rPr>
          <w:rFonts w:ascii="Times New Roman" w:cs="Times New Roman" w:eastAsia="Times New Roman" w:hAnsi="Times New Roman"/>
          <w:sz w:val="20"/>
          <w:szCs w:val="20"/>
          <w:color w:val="auto"/>
        </w:rPr>
      </w:pPr>
    </w:p>
    <w:p>
      <w:pPr>
        <w:ind w:left="1260" w:right="420" w:hanging="720"/>
        <w:spacing w:after="0" w:line="286" w:lineRule="auto"/>
        <w:tabs>
          <w:tab w:leader="none" w:pos="12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8" w:lineRule="exact"/>
        <w:rPr>
          <w:rFonts w:ascii="Times New Roman" w:cs="Times New Roman" w:eastAsia="Times New Roman" w:hAnsi="Times New Roman"/>
          <w:sz w:val="19"/>
          <w:szCs w:val="19"/>
          <w:color w:val="auto"/>
        </w:rPr>
      </w:pPr>
    </w:p>
    <w:p>
      <w:pPr>
        <w:ind w:left="1260" w:right="480" w:hanging="720"/>
        <w:spacing w:after="0" w:line="281" w:lineRule="auto"/>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disclosure obligations regarding executive compensation in our periodic reports, proxy statements and registration statements; and</w:t>
      </w:r>
    </w:p>
    <w:p>
      <w:pPr>
        <w:spacing w:after="0" w:line="61" w:lineRule="exact"/>
        <w:rPr>
          <w:rFonts w:ascii="Times New Roman" w:cs="Times New Roman" w:eastAsia="Times New Roman" w:hAnsi="Times New Roman"/>
          <w:sz w:val="20"/>
          <w:szCs w:val="20"/>
          <w:color w:val="auto"/>
        </w:rPr>
      </w:pPr>
    </w:p>
    <w:p>
      <w:pPr>
        <w:ind w:left="1260" w:right="240" w:hanging="720"/>
        <w:spacing w:after="0" w:line="281" w:lineRule="auto"/>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being required to hold a nonbinding advisory vote on executive compensation and stockholder approval of any golden parachute payments not previously approved.</w:t>
      </w:r>
    </w:p>
    <w:p>
      <w:pPr>
        <w:spacing w:after="0" w:line="141" w:lineRule="exact"/>
        <w:rPr>
          <w:sz w:val="20"/>
          <w:szCs w:val="20"/>
          <w:color w:val="auto"/>
        </w:rPr>
      </w:pPr>
    </w:p>
    <w:p>
      <w:pPr>
        <w:ind w:right="200" w:firstLine="450"/>
        <w:spacing w:after="0" w:line="272" w:lineRule="auto"/>
        <w:rPr>
          <w:sz w:val="20"/>
          <w:szCs w:val="20"/>
          <w:color w:val="auto"/>
        </w:rPr>
      </w:pPr>
      <w:r>
        <w:rPr>
          <w:rFonts w:ascii="Times New Roman" w:cs="Times New Roman" w:eastAsia="Times New Roman" w:hAnsi="Times New Roman"/>
          <w:sz w:val="19"/>
          <w:szCs w:val="19"/>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December 31, 2026, (ii) the last day of the fiscal year in which we have total annual gross revenue of at least $1.235 billion, (iii) the last day of the fiscal year in which we are deemed to be a “large</w:t>
      </w:r>
    </w:p>
    <w:p>
      <w:pPr>
        <w:sectPr>
          <w:pgSz w:w="12240" w:h="15840" w:orient="portrait"/>
          <w:cols w:equalWidth="0" w:num="1">
            <w:col w:w="9360"/>
          </w:cols>
          <w:pgMar w:left="1440" w:top="1378" w:right="1440" w:bottom="851" w:gutter="0" w:footer="0" w:header="0"/>
        </w:sectPr>
      </w:pPr>
    </w:p>
    <w:bookmarkStart w:id="63" w:name="page64"/>
    <w:bookmarkEnd w:id="63"/>
    <w:p>
      <w:pPr>
        <w:ind w:right="80"/>
        <w:spacing w:after="0" w:line="260" w:lineRule="auto"/>
        <w:rPr>
          <w:sz w:val="20"/>
          <w:szCs w:val="20"/>
          <w:color w:val="auto"/>
        </w:rPr>
      </w:pPr>
      <w:r>
        <w:rPr>
          <w:rFonts w:ascii="Times New Roman" w:cs="Times New Roman" w:eastAsia="Times New Roman" w:hAnsi="Times New Roman"/>
          <w:sz w:val="20"/>
          <w:szCs w:val="20"/>
          <w:color w:val="auto"/>
        </w:rPr>
        <w:t>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3" w:lineRule="exact"/>
        <w:rPr>
          <w:sz w:val="20"/>
          <w:szCs w:val="20"/>
          <w:color w:val="auto"/>
        </w:rPr>
      </w:pPr>
    </w:p>
    <w:p>
      <w:pPr>
        <w:ind w:right="100" w:firstLine="450"/>
        <w:spacing w:after="0" w:line="260" w:lineRule="auto"/>
        <w:rPr>
          <w:sz w:val="20"/>
          <w:szCs w:val="20"/>
          <w:color w:val="auto"/>
        </w:rPr>
      </w:pPr>
      <w:r>
        <w:rPr>
          <w:rFonts w:ascii="Times New Roman" w:cs="Times New Roman" w:eastAsia="Times New Roman" w:hAnsi="Times New Roman"/>
          <w:sz w:val="20"/>
          <w:szCs w:val="20"/>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We will have broad discretion in the use of our cash and cash equivalents.</w:t>
      </w:r>
    </w:p>
    <w:p>
      <w:pPr>
        <w:spacing w:after="0" w:line="219"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20"/>
          <w:szCs w:val="20"/>
          <w:color w:val="auto"/>
        </w:rPr>
        <w:t>We have broad discretion over the use of our cash and cash equivalents. You may not agree with our decisions, and our use of the proceeds may not yield any return on your investment. Our failure to apply our cash and cash equivalents effectively could compromise our ability to pursue our strategy and we might not be able to yield a significant return, if any, on our investment of these net proceeds. You will not have the opportunity to influence our decisions on how to use our cash and cash equivalents.</w:t>
      </w:r>
    </w:p>
    <w:p>
      <w:pPr>
        <w:spacing w:after="0" w:line="155" w:lineRule="exact"/>
        <w:rPr>
          <w:sz w:val="20"/>
          <w:szCs w:val="20"/>
          <w:color w:val="auto"/>
        </w:rPr>
      </w:pPr>
    </w:p>
    <w:p>
      <w:pPr>
        <w:jc w:val="both"/>
        <w:ind w:left="480" w:right="2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56"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155" w:lineRule="exact"/>
        <w:rPr>
          <w:sz w:val="20"/>
          <w:szCs w:val="20"/>
          <w:color w:val="auto"/>
        </w:rPr>
      </w:pPr>
    </w:p>
    <w:p>
      <w:pPr>
        <w:ind w:left="480" w:right="2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jc w:val="both"/>
        <w:ind w:right="540" w:firstLine="45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260" w:hanging="720"/>
        <w:spacing w:after="0"/>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1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breach of fiduciary duty;</w:t>
      </w:r>
    </w:p>
    <w:p>
      <w:pPr>
        <w:spacing w:after="0" w:line="130" w:lineRule="exact"/>
        <w:rPr>
          <w:rFonts w:ascii="Times New Roman" w:cs="Times New Roman" w:eastAsia="Times New Roman" w:hAnsi="Times New Roman"/>
          <w:sz w:val="20"/>
          <w:szCs w:val="20"/>
          <w:color w:val="auto"/>
        </w:rPr>
      </w:pPr>
    </w:p>
    <w:p>
      <w:pPr>
        <w:ind w:left="1260" w:right="360" w:hanging="720"/>
        <w:spacing w:after="0" w:line="281" w:lineRule="auto"/>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arising under the Delaware General Corporation Law, our amended and restated certificate of incorporation, or our amended and restated bylaws; and</w:t>
      </w:r>
    </w:p>
    <w:p>
      <w:pPr>
        <w:spacing w:after="0" w:line="6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that is governed by the internal-affairs doctrine.</w:t>
      </w:r>
    </w:p>
    <w:p>
      <w:pPr>
        <w:spacing w:after="0" w:line="21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w:t>
      </w:r>
    </w:p>
    <w:p>
      <w:pPr>
        <w:sectPr>
          <w:pgSz w:w="12240" w:h="15840" w:orient="portrait"/>
          <w:cols w:equalWidth="0" w:num="1">
            <w:col w:w="9360"/>
          </w:cols>
          <w:pgMar w:left="1440" w:top="1378" w:right="1440" w:bottom="910" w:gutter="0" w:footer="0" w:header="0"/>
        </w:sectPr>
      </w:pPr>
    </w:p>
    <w:bookmarkStart w:id="64" w:name="page65"/>
    <w:bookmarkEnd w:id="64"/>
    <w:p>
      <w:pPr>
        <w:ind w:right="620"/>
        <w:spacing w:after="0" w:line="281" w:lineRule="auto"/>
        <w:rPr>
          <w:sz w:val="20"/>
          <w:szCs w:val="20"/>
          <w:color w:val="auto"/>
        </w:rPr>
      </w:pPr>
      <w:r>
        <w:rPr>
          <w:rFonts w:ascii="Times New Roman" w:cs="Times New Roman" w:eastAsia="Times New Roman" w:hAnsi="Times New Roman"/>
          <w:sz w:val="20"/>
          <w:szCs w:val="20"/>
          <w:color w:val="auto"/>
        </w:rPr>
        <w:t>other jurisdictions and there can be no assurance that the provisions will be enforced by a court in those other jurisdictions.</w:t>
      </w:r>
    </w:p>
    <w:p>
      <w:pPr>
        <w:spacing w:after="0" w:line="141"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08" w:lineRule="exact"/>
        <w:rPr>
          <w:sz w:val="20"/>
          <w:szCs w:val="20"/>
          <w:color w:val="auto"/>
        </w:rPr>
      </w:pPr>
    </w:p>
    <w:p>
      <w:pPr>
        <w:ind w:left="480"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increased costs and demands upon management as a result of being a public company.</w:t>
      </w:r>
    </w:p>
    <w:p>
      <w:pPr>
        <w:spacing w:after="0" w:line="13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w:t>
      </w:r>
    </w:p>
    <w:p>
      <w:pPr>
        <w:spacing w:after="0" w:line="168"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64"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55" w:lineRule="exact"/>
        <w:rPr>
          <w:sz w:val="20"/>
          <w:szCs w:val="20"/>
          <w:color w:val="auto"/>
        </w:rPr>
      </w:pPr>
    </w:p>
    <w:p>
      <w:pPr>
        <w:ind w:left="480"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controls, our ability to produce accurate financial statements on a timely basis could be impaired.</w:t>
      </w:r>
    </w:p>
    <w:p>
      <w:pPr>
        <w:spacing w:after="0" w:line="137"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We are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63"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20"/>
          <w:szCs w:val="20"/>
          <w:color w:val="auto"/>
        </w:rPr>
        <w:t>We must perform system and process evaluation and testing of our internal control over financial reporting to allow management to report on the effectiveness of our internal control over financial reporting in our Annual Report on Form 10-K each year, as required by Section 404 of the Sarbanes-Oxley Act. This requires that we incur substantial professional fees and internal costs on accounting and finance functions and that we expend significant management efforts.</w:t>
      </w:r>
    </w:p>
    <w:p>
      <w:pPr>
        <w:spacing w:after="0" w:line="16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20"/>
          <w:szCs w:val="20"/>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ectPr>
          <w:pgSz w:w="12240" w:h="15840" w:orient="portrait"/>
          <w:cols w:equalWidth="0" w:num="1">
            <w:col w:w="9360"/>
          </w:cols>
          <w:pgMar w:left="1440" w:top="1378" w:right="1440" w:bottom="1440" w:gutter="0" w:footer="0" w:header="0"/>
        </w:sectPr>
      </w:pPr>
    </w:p>
    <w:bookmarkStart w:id="65" w:name="page66"/>
    <w:bookmarkEnd w:id="65"/>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155" w:lineRule="exact"/>
        <w:rPr>
          <w:sz w:val="20"/>
          <w:szCs w:val="20"/>
          <w:color w:val="auto"/>
        </w:rPr>
      </w:pPr>
    </w:p>
    <w:p>
      <w:pPr>
        <w:ind w:left="480"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effective tax rate may fluctuate, and we may incur obligations in tax jurisdictions in excess of accrued amounts.</w:t>
      </w:r>
    </w:p>
    <w:p>
      <w:pPr>
        <w:spacing w:after="0" w:line="137"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or regulations, changes in the mix of our profitability from jurisdiction to jurisdiction, the results of examinations and audits of our tax filings, our inability to secure or sustain acceptable agreements with tax authorities and changes in accounting for income taxes. Any of these factors could cause us to experience an effective tax rate significantly different from previous periods or our current expectations and may result in tax obligations in excess of amounts accrued in our financial statements.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We might not be able to utilize a significant portion of our net operating loss carryforwards.</w:t>
      </w:r>
    </w:p>
    <w:p>
      <w:pPr>
        <w:spacing w:after="0" w:line="21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20"/>
          <w:szCs w:val="20"/>
          <w:color w:val="auto"/>
        </w:rPr>
        <w:t>We have generated and expect to continue to generate in the future significant federal and state net operating loss, or NOL, carryforwards. These NOL carryforwards could expire unused and be unavailable to offset future income tax liabilities. U.S. federal NOLs incurred in taxable years beginning after December 31, 2017 may be carried forward indefinitely, but the deductibility of such federal NOL carryforwards in a taxable year is limited to 80% of taxable income in such year.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Our initial public offering, together with private placements and other transactions that have occurred since our inception, may have triggered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 We have a full valuation allowance for deferred tax assets including NOLs.</w:t>
      </w:r>
    </w:p>
    <w:p>
      <w:pPr>
        <w:spacing w:after="0" w:line="169" w:lineRule="exact"/>
        <w:rPr>
          <w:sz w:val="20"/>
          <w:szCs w:val="20"/>
          <w:color w:val="auto"/>
        </w:rPr>
      </w:pPr>
    </w:p>
    <w:p>
      <w:pPr>
        <w:ind w:left="480"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activities could be subject to the Foreign Corrupt Practices Act, or FCPA, and similar anti-bribery and anti-corruption laws.</w:t>
      </w:r>
    </w:p>
    <w:p>
      <w:pPr>
        <w:spacing w:after="0" w:line="137"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9"/>
          <w:szCs w:val="19"/>
          <w:color w:val="auto"/>
        </w:rPr>
        <w:t>Our business activities could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w:t>
      </w:r>
    </w:p>
    <w:p>
      <w:pPr>
        <w:sectPr>
          <w:pgSz w:w="12240" w:h="15840" w:orient="portrait"/>
          <w:cols w:equalWidth="0" w:num="1">
            <w:col w:w="9360"/>
          </w:cols>
          <w:pgMar w:left="1440" w:top="1378" w:right="1440" w:bottom="905" w:gutter="0" w:footer="0" w:header="0"/>
        </w:sectPr>
      </w:pPr>
    </w:p>
    <w:bookmarkStart w:id="66" w:name="page67"/>
    <w:bookmarkEnd w:id="66"/>
    <w:p>
      <w:pPr>
        <w:ind w:right="40"/>
        <w:spacing w:after="0" w:line="256" w:lineRule="auto"/>
        <w:rPr>
          <w:sz w:val="20"/>
          <w:szCs w:val="20"/>
          <w:color w:val="auto"/>
        </w:rPr>
      </w:pPr>
      <w:r>
        <w:rPr>
          <w:rFonts w:ascii="Times New Roman" w:cs="Times New Roman" w:eastAsia="Times New Roman" w:hAnsi="Times New Roman"/>
          <w:sz w:val="20"/>
          <w:szCs w:val="20"/>
          <w:color w:val="auto"/>
        </w:rPr>
        <w:t>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products in one or more countries as well as difficulties in manufacturing or continuing to develop products, and could materially damage our reputation, our brand, our ability to attract and retain employees, and our business, prospects, operating results, and financial condition.</w:t>
      </w:r>
    </w:p>
    <w:p>
      <w:pPr>
        <w:spacing w:after="0" w:line="159" w:lineRule="exact"/>
        <w:rPr>
          <w:sz w:val="20"/>
          <w:szCs w:val="20"/>
          <w:color w:val="auto"/>
        </w:rPr>
      </w:pPr>
    </w:p>
    <w:p>
      <w:pPr>
        <w:ind w:left="480" w:right="18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Disruptions at the FDA and other government agencies caused by funding shortages, layoff, shifting priorities under the new administration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3" w:lineRule="exact"/>
        <w:rPr>
          <w:sz w:val="20"/>
          <w:szCs w:val="20"/>
          <w:color w:val="auto"/>
        </w:rPr>
      </w:pPr>
    </w:p>
    <w:p>
      <w:pPr>
        <w:jc w:val="both"/>
        <w:ind w:right="140" w:firstLine="450"/>
        <w:spacing w:after="0" w:line="260"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layoffs and statutory, regulatory, and policy changes. Average review times at the agency have fluctuated in recent years as a result.</w:t>
      </w:r>
    </w:p>
    <w:p>
      <w:pPr>
        <w:spacing w:after="0" w:line="163" w:lineRule="exact"/>
        <w:rPr>
          <w:sz w:val="20"/>
          <w:szCs w:val="20"/>
          <w:color w:val="auto"/>
        </w:rPr>
      </w:pPr>
    </w:p>
    <w:p>
      <w:pPr>
        <w:ind w:right="140" w:firstLine="450"/>
        <w:spacing w:after="0" w:line="254"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drugs or biologics to be reviewed and/or approved by necessary government agencies, which would adversely affect our business. In addition, the current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the U.S. government has shut down multiple times and certain regulatory agencies, such as the FDA, have had to furlough critical FDA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160" w:lineRule="exact"/>
        <w:rPr>
          <w:sz w:val="20"/>
          <w:szCs w:val="20"/>
          <w:color w:val="auto"/>
        </w:rPr>
      </w:pPr>
    </w:p>
    <w:p>
      <w:pPr>
        <w:ind w:left="480" w:right="6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and political conditions could adversely affect our business, financial condition or results of operations.</w:t>
      </w:r>
    </w:p>
    <w:p>
      <w:pPr>
        <w:spacing w:after="0" w:line="137"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Our business, financial condition and results of operations could be adversely affected by general conditions in the global economy, the global financial markets and global political conditions. The financial markets and the global economy may also be adversely affected by the current or anticipated impact of ongoing military conflicts, terrorism or other geopolitical events, and political tensions between the U.S. and China. Sanctions imposed by the United States and other countries in response to such conflicts and political tensions may also adversely impact our business, the financial markets and the global economy, and any economic countermeasures by the affected countries or others could exacerbate market and economic instability. Furthermore, a severe or prolonged economic downturn, including a recession or depression or major epidemic or pandemic, or political disruption could result in a variety of risks to our business and could negatively impact, among other things, our ability to raise additional capital when needed on acceptable terms, if at all. Any of the foregoing could seriously harm our business, and we cannot anticipate all of the ways in which the political or economic climate and financial market conditions could seriously harm our business.</w:t>
      </w:r>
    </w:p>
    <w:p>
      <w:pPr>
        <w:spacing w:after="0" w:line="162" w:lineRule="exact"/>
        <w:rPr>
          <w:sz w:val="20"/>
          <w:szCs w:val="20"/>
          <w:color w:val="auto"/>
        </w:rPr>
      </w:pPr>
    </w:p>
    <w:p>
      <w:pPr>
        <w:ind w:left="480"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Non-U.S. holders of our common stock may be subject to U.S. federal income tax if we are considered a United States real property holding corporation.</w:t>
      </w:r>
    </w:p>
    <w:p>
      <w:pPr>
        <w:spacing w:after="0" w:line="137" w:lineRule="exact"/>
        <w:rPr>
          <w:sz w:val="20"/>
          <w:szCs w:val="20"/>
          <w:color w:val="auto"/>
        </w:rPr>
      </w:pPr>
    </w:p>
    <w:p>
      <w:pPr>
        <w:ind w:right="40" w:firstLine="450"/>
        <w:spacing w:after="0" w:line="271" w:lineRule="auto"/>
        <w:rPr>
          <w:sz w:val="20"/>
          <w:szCs w:val="20"/>
          <w:color w:val="auto"/>
        </w:rPr>
      </w:pPr>
      <w:r>
        <w:rPr>
          <w:rFonts w:ascii="Times New Roman" w:cs="Times New Roman" w:eastAsia="Times New Roman" w:hAnsi="Times New Roman"/>
          <w:sz w:val="19"/>
          <w:szCs w:val="19"/>
          <w:color w:val="auto"/>
        </w:rPr>
        <w:t>Non-U.S. holders of our common stock may be subject to U.S. federal income and/or withholding tax in the event we are considered a United States real property holding corporation, or USRPHC, for U.S. federal income tax purposes. We believe that we currently are not considered a USRPHC. However, because this determination is made from time to time and is dependent upon a number of factors, some of which are beyond our control, including the value of our assets, there can be no assurance that we will not become a USRPHC. If we ultimately are determined by the United States Internal Revenue Service to constitute a USRPHC, certain of our non-U.S. holders may be subject to U.S. federal income or withholding tax, or both, in respect of certain dispositions of our common stock.</w:t>
      </w:r>
    </w:p>
    <w:p>
      <w:pPr>
        <w:sectPr>
          <w:pgSz w:w="12240" w:h="15840" w:orient="portrait"/>
          <w:cols w:equalWidth="0" w:num="1">
            <w:col w:w="9360"/>
          </w:cols>
          <w:pgMar w:left="1440" w:top="137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19"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or Information Systems and Data.</w:t>
      </w:r>
    </w:p>
    <w:p>
      <w:pPr>
        <w:spacing w:after="0" w:line="164"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The Company’s information technology (IT) Department, led by our Global Head of IT, helps identify, assess, and manage the Company’s cybersecurity threats and risks. The IT Department identifies and assesses risks from cybersecurity threats by monitoring and evaluating our threat environment using various methods including, for example subscribing to reports and services that identify certain cybersecurity threats, analyzing reports of threats and actors, using automated tools to identify certain risks within our collaboration environment, evaluating certain threats reported to us, engaging third parties to conduct threat assessments, conducting vulnerability assessments, and using external intelligence feeds.</w:t>
      </w:r>
    </w:p>
    <w:p>
      <w:pPr>
        <w:spacing w:after="0" w:line="170" w:lineRule="exact"/>
        <w:rPr>
          <w:sz w:val="20"/>
          <w:szCs w:val="20"/>
          <w:color w:val="auto"/>
        </w:rPr>
      </w:pPr>
    </w:p>
    <w:p>
      <w:pPr>
        <w:ind w:right="360" w:firstLine="450"/>
        <w:spacing w:after="0" w:line="255" w:lineRule="auto"/>
        <w:rPr>
          <w:sz w:val="20"/>
          <w:szCs w:val="20"/>
          <w:color w:val="auto"/>
        </w:rPr>
      </w:pPr>
      <w:r>
        <w:rPr>
          <w:rFonts w:ascii="Times New Roman" w:cs="Times New Roman" w:eastAsia="Times New Roman" w:hAnsi="Times New Roman"/>
          <w:sz w:val="20"/>
          <w:szCs w:val="20"/>
          <w:color w:val="auto"/>
        </w:rPr>
        <w:t>Depending on the environment and systems, we implement and maintain various technical, physical, and organizational measures, processes, standards and policies designed to manage and mitigate material risks from cybersecurity threats to our Information Systems and Data, including, for example: incident response policy, incident detection and response, employee cybersecurity awareness training, encryption of certain data, endpoint detection and response for certain endpoints, network security controls, physical security, access controls, asset management, tracking and disposal, systems monitoring, cybersecurity insurance, and a managed Security Operations Center (SOC).</w:t>
      </w:r>
    </w:p>
    <w:p>
      <w:pPr>
        <w:spacing w:after="0" w:line="170"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the Company’s overall risk management processes. For example, our senior management along with our IT Department evaluates material risks from cybersecurity threats against our overall business objectives and reports to the Audit Committee of our Board of Directors, which evaluates our overall enterprise risk.</w:t>
      </w:r>
    </w:p>
    <w:p>
      <w:pPr>
        <w:spacing w:after="0" w:line="163"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We use third-party service providers to assist us from time to time to identify, assess, and manage material risks from cybersecurity threats, including for example: a threat intelligence service provider, cybersecurity software providers, and managed cybersecurity service providers.</w:t>
      </w:r>
    </w:p>
    <w:p>
      <w:pPr>
        <w:spacing w:after="0" w:line="155"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such as application providers, hosting companies, contract research organizations, and contract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including reviewing security assessment reports from certain vendors.</w:t>
      </w:r>
    </w:p>
    <w:p>
      <w:pPr>
        <w:spacing w:after="0" w:line="168" w:lineRule="exact"/>
        <w:rPr>
          <w:sz w:val="20"/>
          <w:szCs w:val="20"/>
          <w:color w:val="auto"/>
        </w:rPr>
      </w:pPr>
    </w:p>
    <w:p>
      <w:pPr>
        <w:ind w:right="40" w:firstLine="450"/>
        <w:spacing w:after="0" w:line="270" w:lineRule="auto"/>
        <w:rPr>
          <w:sz w:val="20"/>
          <w:szCs w:val="20"/>
          <w:color w:val="auto"/>
        </w:rPr>
      </w:pPr>
      <w:r>
        <w:rPr>
          <w:rFonts w:ascii="Times New Roman" w:cs="Times New Roman" w:eastAsia="Times New Roman" w:hAnsi="Times New Roman"/>
          <w:sz w:val="19"/>
          <w:szCs w:val="19"/>
          <w:color w:val="auto"/>
        </w:rPr>
        <w:t>For a description of the risks from cybersecurity threats that may materially affect the Company and how they may do so, see our risk factors under Part 1. Item 1A. Risk Factors in this Annual Report on Form 10-K, including “</w:t>
      </w:r>
      <w:r>
        <w:rPr>
          <w:rFonts w:ascii="Times New Roman" w:cs="Times New Roman" w:eastAsia="Times New Roman" w:hAnsi="Times New Roman"/>
          <w:sz w:val="19"/>
          <w:szCs w:val="19"/>
          <w:b w:val="1"/>
          <w:bCs w:val="1"/>
          <w:i w:val="1"/>
          <w:iCs w:val="1"/>
          <w:color w:val="auto"/>
        </w:rPr>
        <w:t>If our information technology systems or those of the third parties with whom we work or our data, are or were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We are subject to a variety of stringent and evolving U.S. and foreign laws, regulations, rules, contractual obligations, policies and other obligations related to data privacy and data security, and our actual or perceived failure to comply with them could</w:t>
      </w:r>
    </w:p>
    <w:p>
      <w:pPr>
        <w:sectPr>
          <w:pgSz w:w="12240" w:h="15840" w:orient="portrait"/>
          <w:cols w:equalWidth="0" w:num="1">
            <w:col w:w="9360"/>
          </w:cols>
          <w:pgMar w:left="1440" w:top="1371" w:right="1440" w:bottom="1440" w:gutter="0" w:footer="0" w:header="0"/>
        </w:sectPr>
      </w:pPr>
    </w:p>
    <w:bookmarkStart w:id="68" w:name="page69"/>
    <w:bookmarkEnd w:id="68"/>
    <w:p>
      <w:pPr>
        <w:ind w:right="18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lead to regulatory investigations or actions; litigation; fines and penalties; disruptions of our business operations; reputational harm; loss of revenue or profits; and other adverse business consequences.</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19" w:lineRule="exact"/>
        <w:rPr>
          <w:sz w:val="20"/>
          <w:szCs w:val="20"/>
          <w:color w:val="auto"/>
        </w:rPr>
      </w:pPr>
    </w:p>
    <w:p>
      <w:pPr>
        <w:ind w:right="460" w:firstLine="450"/>
        <w:spacing w:after="0" w:line="266" w:lineRule="auto"/>
        <w:rPr>
          <w:sz w:val="20"/>
          <w:szCs w:val="20"/>
          <w:color w:val="auto"/>
        </w:rPr>
      </w:pPr>
      <w:r>
        <w:rPr>
          <w:rFonts w:ascii="Times New Roman" w:cs="Times New Roman" w:eastAsia="Times New Roman" w:hAnsi="Times New Roman"/>
          <w:sz w:val="20"/>
          <w:szCs w:val="20"/>
          <w:color w:val="auto"/>
        </w:rPr>
        <w:t>Our Board of Directors addresses the Company’s cybersecurity risk management as part of its general oversight function. The Audit Committee of our Board of Directors is responsible for overseeing Company’s cybersecurity risk management processes, including oversight of mitigation of risks from cybersecurity threats.</w:t>
      </w:r>
    </w:p>
    <w:p>
      <w:pPr>
        <w:spacing w:after="0" w:line="155" w:lineRule="exact"/>
        <w:rPr>
          <w:sz w:val="20"/>
          <w:szCs w:val="20"/>
          <w:color w:val="auto"/>
        </w:rPr>
      </w:pPr>
    </w:p>
    <w:p>
      <w:pPr>
        <w:ind w:right="460" w:firstLine="450"/>
        <w:spacing w:after="0" w:line="266"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our Global Head of IT who has over 20 years of experience managing cybersecurity and IT risks, including working at other biotechnology and cell therapy companies.</w:t>
      </w:r>
    </w:p>
    <w:p>
      <w:pPr>
        <w:spacing w:after="0" w:line="155"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20"/>
          <w:szCs w:val="20"/>
          <w:color w:val="auto"/>
        </w:rPr>
        <w:t>The Global Head of IT along with the Chief Financial Officer (“CFO”) are responsible for hiring appropriate personnel, helping to integrate cybersecurity risk considerations into the Company’s overall risk management strategy, and communicating key priorities to relevant personnel. The CFO is responsible for approving cybersecurity-related budgets, helping prepare for cybersecurity incidents, approving cybersecurity processes, and reviewing security assessments and other security-related reports.</w:t>
      </w:r>
    </w:p>
    <w:p>
      <w:pPr>
        <w:spacing w:after="0" w:line="164"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Our cybersecurity incident response policy is designed to escalate certain cybersecurity incidents to members of management depending on the circumstances, including our Global Head of IT, CFO and Chief Executive Officer (“CEO”). Our Global Head of IT, CFO and CEO work with the Company’s incident response team to help the Company mitigate and remediate cybersecurity incidents of which they are notified.</w:t>
      </w:r>
    </w:p>
    <w:p>
      <w:pPr>
        <w:spacing w:after="0" w:line="163" w:lineRule="exact"/>
        <w:rPr>
          <w:sz w:val="20"/>
          <w:szCs w:val="20"/>
          <w:color w:val="auto"/>
        </w:rPr>
      </w:pPr>
    </w:p>
    <w:p>
      <w:pPr>
        <w:ind w:right="40" w:firstLine="450"/>
        <w:spacing w:after="0" w:line="277" w:lineRule="auto"/>
        <w:rPr>
          <w:sz w:val="20"/>
          <w:szCs w:val="20"/>
          <w:color w:val="auto"/>
        </w:rPr>
      </w:pPr>
      <w:r>
        <w:rPr>
          <w:rFonts w:ascii="Times New Roman" w:cs="Times New Roman" w:eastAsia="Times New Roman" w:hAnsi="Times New Roman"/>
          <w:sz w:val="20"/>
          <w:szCs w:val="20"/>
          <w:color w:val="auto"/>
        </w:rPr>
        <w:t>The Audit Committee receives periodic reports of certain cybersecurity incidents from our Global Head of IT pursuant to the Company’s incident response plan and the processes the Company has implemented to address them. The Audit Committee also has access to various reports, summaries or presentations related to cybersecurity threats, risk, and mitigation.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ind w:right="520" w:firstLine="450"/>
        <w:spacing w:after="0" w:line="266" w:lineRule="auto"/>
        <w:rPr>
          <w:sz w:val="20"/>
          <w:szCs w:val="20"/>
          <w:color w:val="auto"/>
        </w:rPr>
      </w:pPr>
      <w:r>
        <w:rPr>
          <w:rFonts w:ascii="Times New Roman" w:cs="Times New Roman" w:eastAsia="Times New Roman" w:hAnsi="Times New Roman"/>
          <w:sz w:val="20"/>
          <w:szCs w:val="20"/>
          <w:color w:val="auto"/>
        </w:rPr>
        <w:t>Our wholly owned subsidiary, Complex Therapeutics LLC, owns a manufacturing facility in Tarzana, California and in July 2024 it leased the facility to AstraZeneca. The facility consists of 128,097 square feet of clinical and commercial manufacturing space.</w:t>
      </w:r>
    </w:p>
    <w:p>
      <w:pPr>
        <w:spacing w:after="0" w:line="155"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20"/>
          <w:szCs w:val="20"/>
          <w:color w:val="auto"/>
        </w:rPr>
        <w:t>Our headquarters is located in Dallas, Texas and consists of 5,055 square feet of leased office space under a lease that expires in April 2026. We also lease 7,728 square feet of leased laboratory and office space in Alderley Park, United Kingdom, under three leases that expire in November 2026.</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believe that our current facilities are adequate for our current needs.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ind w:right="720" w:firstLine="450"/>
        <w:spacing w:after="0" w:line="281"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currently subject to any material legal proceedings.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374"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common stock is listed on the Nasdaq Stock Market under the symbol “TIL”.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our Common Stock</w:t>
      </w:r>
    </w:p>
    <w:p>
      <w:pPr>
        <w:spacing w:after="0" w:line="217"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As of March 25, 2026, there were 13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7" w:lineRule="exact"/>
        <w:rPr>
          <w:sz w:val="20"/>
          <w:szCs w:val="20"/>
          <w:color w:val="auto"/>
        </w:rPr>
      </w:pPr>
    </w:p>
    <w:p>
      <w:pPr>
        <w:jc w:val="both"/>
        <w:ind w:right="220" w:firstLine="450"/>
        <w:spacing w:after="0" w:line="266" w:lineRule="auto"/>
        <w:rPr>
          <w:sz w:val="20"/>
          <w:szCs w:val="20"/>
          <w:color w:val="auto"/>
        </w:rPr>
      </w:pPr>
      <w:r>
        <w:rPr>
          <w:rFonts w:ascii="Times New Roman" w:cs="Times New Roman" w:eastAsia="Times New Roman" w:hAnsi="Times New Roman"/>
          <w:sz w:val="20"/>
          <w:szCs w:val="20"/>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Equity Securities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360"/>
          </w:cols>
          <w:pgMar w:left="1440" w:top="1371"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00"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the “Special Note Regarding Forward-Looking Statements,” “Risk Factor Summary,” and “Risk Factors” sections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We are a biotechnology company focused on identifying and advancing innovative therapeutic opportunities.</w:t>
      </w:r>
    </w:p>
    <w:p>
      <w:pPr>
        <w:spacing w:after="0" w:line="210"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20"/>
          <w:szCs w:val="20"/>
          <w:color w:val="auto"/>
        </w:rPr>
        <w:t>In January 2026, we announced that our wholly owned subsidiary, Axion Bio, was discontinuing development of AXN-2510, our former lead product candidate. We are actively seeking to in-license or acquire and develop additional novel therapeutic candidates in diseases with significant unmet medical need.</w:t>
      </w:r>
    </w:p>
    <w:p>
      <w:pPr>
        <w:spacing w:after="0" w:line="155"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Since inception, we have had significant operating losses. Our net loss was $71.4 million and $74.1 million for the years ended December 31, 2025 and 2024, respectively. As of December 31, 2025, we had an accumulated deficit of $726.5 million. As of December 31, 2025, we had cash, cash equivalents, restricted cash and marketable securities of $76.3 million, which consisted of $6.6 million in cash and cash equivalents, $0.2 million of restricted cash and $69.5 million in marketable securities. We expect to continue to incur net losses for the foreseeable future.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In-Process Research and Development</w:t>
      </w:r>
    </w:p>
    <w:p>
      <w:pPr>
        <w:spacing w:after="0" w:line="214"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In-process research and development (IPR&amp;D) expenses include IPR&amp;D acquired as part of in-license payments made to ImmuneOnco for our prior product candidate AXN-2510, for which there is no alternative future use and are expensed as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14"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consist primarily of research and development, manufacturing, monitoring and other services payments and, to a lesser extent, salaries, benefits and other personnel-related costs, including stock-based compensation, professional service fees, and facility and other related costs. In addition, research and development expense is presented net of reimbursements from reimbursable tax and expenditure credits and grants from the UK government.</w:t>
      </w:r>
    </w:p>
    <w:p>
      <w:pPr>
        <w:spacing w:after="0" w:line="164"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We expect our future research and development expenses to change in line with our potential business development activities and any nonclinical and clinical development activities. Our expenditures on any future nonclinical and clinical development programs are subject to numerous uncertainties in timing and cost to completion. The duration, costs and timing of clinical trials and development of product candidates will depend on a variety of factors, including:</w:t>
      </w:r>
    </w:p>
    <w:p>
      <w:pPr>
        <w:spacing w:after="0" w:line="164" w:lineRule="exact"/>
        <w:rPr>
          <w:sz w:val="20"/>
          <w:szCs w:val="20"/>
          <w:color w:val="auto"/>
        </w:rPr>
      </w:pPr>
    </w:p>
    <w:p>
      <w:pPr>
        <w:ind w:left="1260" w:right="660" w:hanging="720"/>
        <w:spacing w:after="0" w:line="260" w:lineRule="auto"/>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rate of progress and expenses of clinical trials and other research and development activities;</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safety monitoring and other studies requested by regulatory agencies;</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and changing government regulation; and</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receipt of regulatory approvals, if any.</w:t>
      </w:r>
    </w:p>
    <w:p>
      <w:pPr>
        <w:spacing w:after="0" w:line="191" w:lineRule="exact"/>
        <w:rPr>
          <w:sz w:val="20"/>
          <w:szCs w:val="20"/>
          <w:color w:val="auto"/>
        </w:rPr>
      </w:pPr>
    </w:p>
    <w:p>
      <w:pPr>
        <w:ind w:right="420" w:firstLine="450"/>
        <w:spacing w:after="0" w:line="281" w:lineRule="auto"/>
        <w:rPr>
          <w:sz w:val="20"/>
          <w:szCs w:val="20"/>
          <w:color w:val="auto"/>
        </w:rPr>
      </w:pPr>
      <w:r>
        <w:rPr>
          <w:rFonts w:ascii="Times New Roman" w:cs="Times New Roman" w:eastAsia="Times New Roman" w:hAnsi="Times New Roman"/>
          <w:sz w:val="20"/>
          <w:szCs w:val="20"/>
          <w:color w:val="auto"/>
        </w:rPr>
        <w:t>The process of conducting the necessary clinical research to obtain regulatory approval from the FDA, Medicines and Healthcare Products Regulatory Agency, or MHRA, European Medicines Agency, or EMA, and</w:t>
      </w:r>
    </w:p>
    <w:p>
      <w:pPr>
        <w:sectPr>
          <w:pgSz w:w="12240" w:h="15840" w:orient="portrait"/>
          <w:cols w:equalWidth="0" w:num="1">
            <w:col w:w="9360"/>
          </w:cols>
          <w:pgMar w:left="1440" w:top="1374" w:right="1440" w:bottom="886" w:gutter="0" w:footer="0" w:header="0"/>
        </w:sectPr>
      </w:pPr>
    </w:p>
    <w:bookmarkStart w:id="71" w:name="page72"/>
    <w:bookmarkEnd w:id="71"/>
    <w:p>
      <w:pPr>
        <w:ind w:right="100"/>
        <w:spacing w:after="0" w:line="255" w:lineRule="auto"/>
        <w:rPr>
          <w:sz w:val="20"/>
          <w:szCs w:val="20"/>
          <w:color w:val="auto"/>
        </w:rPr>
      </w:pPr>
      <w:r>
        <w:rPr>
          <w:rFonts w:ascii="Times New Roman" w:cs="Times New Roman" w:eastAsia="Times New Roman" w:hAnsi="Times New Roman"/>
          <w:sz w:val="20"/>
          <w:szCs w:val="20"/>
          <w:color w:val="auto"/>
        </w:rPr>
        <w:t>comparable foreign authorities is costly and time consuming and the successful development of product candidates is highly uncertain. The risks and uncertainties associated with our research and development projects are discussed more fully in the section of this Annual Report titled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14"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primarily of compensation and personnel-related expenses, including stock-based compensation, for our personnel in executive, finance and other administrative functions. General and administrative expenses also include professional fees paid for accounting, auditing, legal, tax and consulting services, insurance costs, recruiting costs, travel expenses, facility and other related costs, depreciation, and other general and administrative costs.</w:t>
      </w:r>
    </w:p>
    <w:p>
      <w:pPr>
        <w:spacing w:after="0" w:line="164" w:lineRule="exact"/>
        <w:rPr>
          <w:sz w:val="20"/>
          <w:szCs w:val="20"/>
          <w:color w:val="auto"/>
        </w:rPr>
      </w:pPr>
    </w:p>
    <w:p>
      <w:pPr>
        <w:ind w:right="340" w:firstLine="450"/>
        <w:spacing w:after="0" w:line="266" w:lineRule="auto"/>
        <w:rPr>
          <w:sz w:val="20"/>
          <w:szCs w:val="20"/>
          <w:color w:val="auto"/>
        </w:rPr>
      </w:pPr>
      <w:r>
        <w:rPr>
          <w:rFonts w:ascii="Times New Roman" w:cs="Times New Roman" w:eastAsia="Times New Roman" w:hAnsi="Times New Roman"/>
          <w:sz w:val="20"/>
          <w:szCs w:val="20"/>
          <w:color w:val="auto"/>
        </w:rPr>
        <w:t>We expect to continue to incur expenses as a result of operating as a public company, including expenses related to compliance with the rules and regulations of the SEC, director and officer insurance expenses, and any investor relations related expenses, as well as other administrative and professional services.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Impairment Charges</w:t>
      </w:r>
    </w:p>
    <w:p>
      <w:pPr>
        <w:spacing w:after="0" w:line="214"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20"/>
          <w:szCs w:val="20"/>
          <w:color w:val="auto"/>
        </w:rPr>
        <w:t>Restructuring and impairment charges for the year ended December 31, 2025 consisted primarily of fees related to terminated contracts and an impairment loss recognized on long-lived assets held for sale in connection with listing the Tarzana facility for sale in March 2025.</w:t>
      </w:r>
    </w:p>
    <w:p>
      <w:pPr>
        <w:spacing w:after="0" w:line="155"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Restructuring and impairment charges for the year ended December 31, 2024 consisted primarily of employee termination costs, contract terminations, and impairment loss recognized on long-lived assets held for sale, leasehold improvements, and right-of-use assets.</w:t>
      </w:r>
    </w:p>
    <w:p>
      <w:pPr>
        <w:spacing w:after="0" w:line="155" w:lineRule="exact"/>
        <w:rPr>
          <w:sz w:val="20"/>
          <w:szCs w:val="20"/>
          <w:color w:val="auto"/>
        </w:rPr>
      </w:pPr>
    </w:p>
    <w:p>
      <w:pPr>
        <w:jc w:val="both"/>
        <w:ind w:right="700" w:firstLine="450"/>
        <w:spacing w:after="0" w:line="266" w:lineRule="auto"/>
        <w:rPr>
          <w:sz w:val="20"/>
          <w:szCs w:val="20"/>
          <w:color w:val="auto"/>
        </w:rPr>
      </w:pPr>
      <w:r>
        <w:rPr>
          <w:rFonts w:ascii="Times New Roman" w:cs="Times New Roman" w:eastAsia="Times New Roman" w:hAnsi="Times New Roman"/>
          <w:sz w:val="20"/>
          <w:szCs w:val="20"/>
          <w:color w:val="auto"/>
        </w:rPr>
        <w:t>In January 2023, our Board of Directors approved a restructuring plan, or the 2023 Plan, related to the consolidation of our former ITIL-306 Phase 1 clinical trial and related manufacturing of CoStAR-TIL to our operations in Manchester, UK.</w:t>
      </w:r>
    </w:p>
    <w:p>
      <w:pPr>
        <w:spacing w:after="0" w:line="15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20"/>
          <w:szCs w:val="20"/>
          <w:color w:val="auto"/>
        </w:rPr>
        <w:t>In January 2024, we decided to initiate closure of our UK manufacturing and clinical operations related to our past development of our CoStAR-TIL technology, and in September 2024 we decided to close most of our remaining Manchester, UK operations related to our past development of our CoStAR-TIL technology, which resulted in the elimination of the majority of the remaining UK workforce, with the remaining reduction substantially completed by the end of 2024, which we refer to as the 2024 Plan, and collectively with the 2023 Plan, as the Plan.</w:t>
      </w:r>
    </w:p>
    <w:p>
      <w:pPr>
        <w:spacing w:after="0" w:line="168" w:lineRule="exact"/>
        <w:rPr>
          <w:sz w:val="20"/>
          <w:szCs w:val="20"/>
          <w:color w:val="auto"/>
        </w:rPr>
      </w:pPr>
    </w:p>
    <w:p>
      <w:pPr>
        <w:ind w:right="340" w:firstLine="450"/>
        <w:spacing w:after="0" w:line="281" w:lineRule="auto"/>
        <w:rPr>
          <w:sz w:val="20"/>
          <w:szCs w:val="20"/>
          <w:color w:val="auto"/>
        </w:rPr>
      </w:pPr>
      <w:r>
        <w:rPr>
          <w:rFonts w:ascii="Times New Roman" w:cs="Times New Roman" w:eastAsia="Times New Roman" w:hAnsi="Times New Roman"/>
          <w:sz w:val="20"/>
          <w:szCs w:val="20"/>
          <w:color w:val="auto"/>
        </w:rPr>
        <w:t>As a result of the Plan, we incurred restructuring and impairment charges of $16.6 million and $7.5 million during the years ended December 31, 2025 and 2024, respectively.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ind w:right="540" w:firstLine="450"/>
        <w:spacing w:after="0" w:line="281" w:lineRule="auto"/>
        <w:rPr>
          <w:sz w:val="20"/>
          <w:szCs w:val="20"/>
          <w:color w:val="auto"/>
        </w:rPr>
      </w:pPr>
      <w:r>
        <w:rPr>
          <w:rFonts w:ascii="Times New Roman" w:cs="Times New Roman" w:eastAsia="Times New Roman" w:hAnsi="Times New Roman"/>
          <w:sz w:val="20"/>
          <w:szCs w:val="20"/>
          <w:color w:val="auto"/>
        </w:rPr>
        <w:t>Interest income consists of interest income from funds held in our cash and cash equivalent accounts and marketable securities.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Interest expense consists of interest expense on our debt and amortization of loan origination costs.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Other Rental Income</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Other rental income consists of rental income related to the Tarzana facility.</w:t>
      </w:r>
    </w:p>
    <w:p>
      <w:pPr>
        <w:sectPr>
          <w:pgSz w:w="12240" w:h="15840" w:orient="portrait"/>
          <w:cols w:equalWidth="0" w:num="1">
            <w:col w:w="9360"/>
          </w:cols>
          <w:pgMar w:left="1440" w:top="1378" w:right="1440" w:bottom="1067"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19" w:lineRule="exact"/>
        <w:rPr>
          <w:sz w:val="20"/>
          <w:szCs w:val="20"/>
          <w:color w:val="auto"/>
        </w:rPr>
      </w:pPr>
    </w:p>
    <w:p>
      <w:pPr>
        <w:ind w:right="620" w:firstLine="450"/>
        <w:spacing w:after="0" w:line="281" w:lineRule="auto"/>
        <w:rPr>
          <w:sz w:val="20"/>
          <w:szCs w:val="20"/>
          <w:color w:val="auto"/>
        </w:rPr>
      </w:pPr>
      <w:r>
        <w:rPr>
          <w:rFonts w:ascii="Times New Roman" w:cs="Times New Roman" w:eastAsia="Times New Roman" w:hAnsi="Times New Roman"/>
          <w:sz w:val="20"/>
          <w:szCs w:val="20"/>
          <w:color w:val="auto"/>
        </w:rPr>
        <w:t>Other income (expense), net consists primarily of derivative financial instrument fair value gain or loss, foreign exchange remeasurement gain or loss, debt extinguishment loss and other expenses and income.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Income Tax Provision</w:t>
      </w:r>
    </w:p>
    <w:p>
      <w:pPr>
        <w:spacing w:after="0" w:line="219" w:lineRule="exact"/>
        <w:rPr>
          <w:sz w:val="20"/>
          <w:szCs w:val="20"/>
          <w:color w:val="auto"/>
        </w:rPr>
      </w:pPr>
    </w:p>
    <w:p>
      <w:pPr>
        <w:ind w:right="220" w:firstLine="450"/>
        <w:spacing w:after="0" w:line="278" w:lineRule="auto"/>
        <w:rPr>
          <w:sz w:val="20"/>
          <w:szCs w:val="20"/>
          <w:color w:val="auto"/>
        </w:rPr>
      </w:pPr>
      <w:r>
        <w:rPr>
          <w:rFonts w:ascii="Times New Roman" w:cs="Times New Roman" w:eastAsia="Times New Roman" w:hAnsi="Times New Roman"/>
          <w:sz w:val="19"/>
          <w:szCs w:val="19"/>
          <w:color w:val="auto"/>
        </w:rPr>
        <w:t>We are subject to income taxes in the United States and the United Kingdom. The United Kingdom has statutory tax rates that differ from those in the United States. Accordingly, our effective tax rates will vary depending on the relative proportion of United Kingdom to United States income, the availability of research and development tax credits, changes in the valuation of our deferred tax assets and liabilities and changes in tax laws.</w:t>
      </w:r>
    </w:p>
    <w:p>
      <w:pPr>
        <w:spacing w:after="0" w:line="148"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Due to the uncertainty of the business in which we operate, projections of future profitability are difficult and past profitability is not necessarily indicative of future profitability. We maintain full valuation allowance against net deferred tax assets for the United States and the United Kingdom. The valuation allowance has been provided based on the positive and negative evidence relative to our company, including the existence of cumulative net operating losses, or NOLs, since our inception, and the inability to carryback these NOLs to prior periods. Furthermore, we have determined that it is more likely than not that the benefit of these assets would not be realized in the foreseeable future. The timing and the reversal of our valuation allowance will continue to be monitored.</w:t>
      </w:r>
    </w:p>
    <w:p>
      <w:pPr>
        <w:spacing w:after="0" w:line="173" w:lineRule="exact"/>
        <w:rPr>
          <w:sz w:val="20"/>
          <w:szCs w:val="20"/>
          <w:color w:val="auto"/>
        </w:rPr>
      </w:pPr>
    </w:p>
    <w:p>
      <w:pPr>
        <w:ind w:right="380" w:firstLine="450"/>
        <w:spacing w:after="0" w:line="281" w:lineRule="auto"/>
        <w:rPr>
          <w:sz w:val="20"/>
          <w:szCs w:val="20"/>
          <w:color w:val="auto"/>
        </w:rPr>
      </w:pPr>
      <w:r>
        <w:rPr>
          <w:rFonts w:ascii="Times New Roman" w:cs="Times New Roman" w:eastAsia="Times New Roman" w:hAnsi="Times New Roman"/>
          <w:sz w:val="20"/>
          <w:szCs w:val="20"/>
          <w:color w:val="auto"/>
        </w:rPr>
        <w:t>On July 4, 2025, the One Big Beautiful Bill Act, or OBBBA, was signed into law and included various tax policy changes. OBBBA did not have a material impact on our 2025 consolidated financial statements.</w:t>
      </w:r>
    </w:p>
    <w:p>
      <w:pPr>
        <w:sectPr>
          <w:pgSz w:w="12240" w:h="15840" w:orient="portrait"/>
          <w:cols w:equalWidth="0" w:num="1">
            <w:col w:w="9360"/>
          </w:cols>
          <w:pgMar w:left="1440" w:top="1369"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36" w:lineRule="exact"/>
        <w:rPr>
          <w:sz w:val="20"/>
          <w:szCs w:val="20"/>
          <w:color w:val="auto"/>
        </w:rPr>
      </w:pPr>
    </w:p>
    <w:p>
      <w:pPr>
        <w:ind w:right="8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(in thousands):</w:t>
      </w:r>
    </w:p>
    <w:p>
      <w:pPr>
        <w:sectPr>
          <w:pgSz w:w="12240" w:h="15840" w:orient="portrait"/>
          <w:cols w:equalWidth="0" w:num="1">
            <w:col w:w="9360"/>
          </w:cols>
          <w:pgMar w:left="144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4280" w:type="dxa"/>
            <w:vAlign w:val="bottom"/>
          </w:tcPr>
          <w:p>
            <w:pPr>
              <w:jc w:val="right"/>
              <w:ind w:right="2560"/>
              <w:spacing w:after="0"/>
              <w:rPr>
                <w:sz w:val="20"/>
                <w:szCs w:val="20"/>
                <w:color w:val="auto"/>
              </w:rPr>
            </w:pPr>
            <w:r>
              <w:rPr>
                <w:rFonts w:ascii="Times New Roman" w:cs="Times New Roman" w:eastAsia="Times New Roman" w:hAnsi="Times New Roman"/>
                <w:sz w:val="20"/>
                <w:szCs w:val="20"/>
                <w:color w:val="auto"/>
                <w:w w:val="98"/>
              </w:rPr>
              <w:t>Operating expenses:</w:t>
            </w:r>
          </w:p>
        </w:tc>
        <w:tc>
          <w:tcPr>
            <w:tcW w:w="140" w:type="dxa"/>
            <w:vAlign w:val="bottom"/>
          </w:tcPr>
          <w:p>
            <w:pPr>
              <w:spacing w:after="0"/>
              <w:rPr>
                <w:sz w:val="22"/>
                <w:szCs w:val="22"/>
                <w:color w:val="auto"/>
              </w:rPr>
            </w:pPr>
          </w:p>
        </w:tc>
      </w:tr>
      <w:tr>
        <w:trPr>
          <w:trHeight w:val="306"/>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In-process research and development</w:t>
            </w:r>
            <w:r>
              <w:rPr>
                <w:rFonts w:ascii="Times New Roman" w:cs="Times New Roman" w:eastAsia="Times New Roman" w:hAnsi="Times New Roman"/>
                <w:sz w:val="20"/>
                <w:szCs w:val="20"/>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w:t>
            </w:r>
            <w:r>
              <w:rPr>
                <w:rFonts w:ascii="Times New Roman" w:cs="Times New Roman" w:eastAsia="Times New Roman" w:hAnsi="Times New Roman"/>
                <w:sz w:val="20"/>
                <w:szCs w:val="20"/>
                <w:color w:val="B4B4B4"/>
              </w:rPr>
              <w:t>..................................</w:t>
            </w:r>
          </w:p>
        </w:tc>
        <w:tc>
          <w:tcPr>
            <w:tcW w:w="140" w:type="dxa"/>
            <w:vAlign w:val="bottom"/>
          </w:tcPr>
          <w:p>
            <w:pPr>
              <w:spacing w:after="0"/>
              <w:rPr>
                <w:sz w:val="22"/>
                <w:szCs w:val="22"/>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Restructuring and impairment charges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operating expenses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Loss from operations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Interest income </w:t>
            </w:r>
            <w:r>
              <w:rPr>
                <w:rFonts w:ascii="Times New Roman" w:cs="Times New Roman" w:eastAsia="Times New Roman" w:hAnsi="Times New Roman"/>
                <w:sz w:val="20"/>
                <w:szCs w:val="20"/>
                <w:color w:val="B4B4B4"/>
                <w:w w:val="99"/>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Interest expense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rental income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285"/>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income (expense), net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306"/>
        </w:trPr>
        <w:tc>
          <w:tcPr>
            <w:tcW w:w="4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Net loss </w:t>
            </w:r>
            <w:r>
              <w:rPr>
                <w:rFonts w:ascii="Times New Roman" w:cs="Times New Roman" w:eastAsia="Times New Roman" w:hAnsi="Times New Roman"/>
                <w:sz w:val="20"/>
                <w:szCs w:val="20"/>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-2175510</wp:posOffset>
            </wp:positionV>
            <wp:extent cx="5981700" cy="2222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981700" cy="22225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In-process Research and Development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7"/>
        </w:trPr>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65"/>
        </w:trPr>
        <w:tc>
          <w:tcPr>
            <w:tcW w:w="1080" w:type="dxa"/>
            <w:vAlign w:val="bottom"/>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5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547"/>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10,000</w:t>
            </w:r>
          </w:p>
        </w:tc>
        <w:tc>
          <w:tcPr>
            <w:tcW w:w="5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60" w:type="dxa"/>
            <w:vAlign w:val="bottom"/>
          </w:tcPr>
          <w:p>
            <w:pPr>
              <w:spacing w:after="0"/>
              <w:rPr>
                <w:sz w:val="24"/>
                <w:szCs w:val="24"/>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24,738</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12,900</w:t>
            </w:r>
          </w:p>
        </w:tc>
      </w:tr>
      <w:tr>
        <w:trPr>
          <w:trHeight w:val="285"/>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27,221</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(16,989)</w:t>
            </w:r>
          </w:p>
        </w:tc>
      </w:tr>
      <w:tr>
        <w:trPr>
          <w:trHeight w:val="288"/>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16,622</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9,129</w:t>
            </w:r>
          </w:p>
        </w:tc>
      </w:tr>
      <w:tr>
        <w:trPr>
          <w:trHeight w:val="265"/>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78,581</w:t>
            </w:r>
          </w:p>
        </w:tc>
        <w:tc>
          <w:tcPr>
            <w:tcW w:w="5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73,541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5,040</w:t>
            </w:r>
          </w:p>
        </w:tc>
      </w:tr>
      <w:tr>
        <w:trPr>
          <w:trHeight w:val="262"/>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(78,581)</w:t>
            </w:r>
          </w:p>
        </w:tc>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(73,541)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(5,040)</w:t>
            </w:r>
          </w:p>
        </w:tc>
      </w:tr>
      <w:tr>
        <w:trPr>
          <w:trHeight w:val="285"/>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3,858</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(3,129)</w:t>
            </w:r>
          </w:p>
        </w:tc>
      </w:tr>
      <w:tr>
        <w:trPr>
          <w:trHeight w:val="285"/>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w:t>
            </w:r>
          </w:p>
        </w:tc>
      </w:tr>
      <w:tr>
        <w:trPr>
          <w:trHeight w:val="285"/>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8,968</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4,701</w:t>
            </w:r>
          </w:p>
        </w:tc>
      </w:tr>
      <w:tr>
        <w:trPr>
          <w:trHeight w:val="288"/>
        </w:trPr>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212</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3,068</w:t>
            </w:r>
          </w:p>
        </w:tc>
      </w:tr>
      <w:tr>
        <w:trPr>
          <w:trHeight w:val="245"/>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(71,372)</w:t>
            </w:r>
          </w:p>
        </w:tc>
        <w:tc>
          <w:tcPr>
            <w:tcW w:w="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(74,135)</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2,763</w:t>
            </w:r>
          </w:p>
        </w:tc>
      </w:tr>
      <w:tr>
        <w:trPr>
          <w:trHeight w:val="20"/>
        </w:trPr>
        <w:tc>
          <w:tcPr>
            <w:tcW w:w="1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-396875</wp:posOffset>
                </wp:positionH>
                <wp:positionV relativeFrom="paragraph">
                  <wp:posOffset>-2371725</wp:posOffset>
                </wp:positionV>
                <wp:extent cx="211455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499pt,-186.7499pt" to="135.25pt,-186.7499pt" o:allowincell="f" strokecolor="#000000" strokeweight="1pt"/>
            </w:pict>
          </mc:Fallback>
        </mc:AlternateContent>
      </w:r>
    </w:p>
    <w:p>
      <w:pPr>
        <w:spacing w:after="0" w:line="634" w:lineRule="exact"/>
        <w:rPr>
          <w:sz w:val="20"/>
          <w:szCs w:val="20"/>
          <w:color w:val="auto"/>
        </w:rPr>
      </w:pPr>
    </w:p>
    <w:p>
      <w:pPr>
        <w:sectPr>
          <w:pgSz w:w="12240" w:h="15840" w:orient="portrait"/>
          <w:cols w:equalWidth="0" w:num="2">
            <w:col w:w="4480" w:space="480"/>
            <w:col w:w="4400"/>
          </w:cols>
          <w:pgMar w:left="1440" w:top="1371" w:right="1440" w:bottom="1440" w:gutter="0" w:footer="0" w:header="0"/>
          <w:type w:val="continuous"/>
        </w:sectPr>
      </w:pPr>
    </w:p>
    <w:p>
      <w:pPr>
        <w:spacing w:after="0" w:line="14"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In-process research and development expenses were $10.0 million for each of the years ended December 31, 2025 and 2024, due to a $10.0 million payment to ImmuneOnco for achievement of the IND clearance milestone during the year ended December 31, 2025 and an upfront payment to ImmuneOnco during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Research and development expenses were $24.7 million and $11.8 million for the years ended December 31,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 respectively. The net increase of $12.9 million was primarily due to:</w:t>
      </w:r>
    </w:p>
    <w:p>
      <w:pPr>
        <w:spacing w:after="0" w:line="190" w:lineRule="exact"/>
        <w:rPr>
          <w:sz w:val="20"/>
          <w:szCs w:val="20"/>
          <w:color w:val="auto"/>
        </w:rPr>
      </w:pPr>
    </w:p>
    <w:p>
      <w:pPr>
        <w:ind w:left="1260" w:right="560" w:hanging="720"/>
        <w:spacing w:after="0" w:line="260" w:lineRule="auto"/>
        <w:tabs>
          <w:tab w:leader="none" w:pos="12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$17.7 million increase in costs related to research and clinical development activities from our ImmuneOnco collaboration and our AXN-2510 clinical trial; partially offset by</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 million decrease in costs from reduced headcount, consisting primarily of decreases of</w:t>
      </w:r>
    </w:p>
    <w:p>
      <w:pPr>
        <w:spacing w:after="0" w:line="11" w:lineRule="exact"/>
        <w:rPr>
          <w:rFonts w:ascii="Times New Roman" w:cs="Times New Roman" w:eastAsia="Times New Roman" w:hAnsi="Times New Roman"/>
          <w:sz w:val="20"/>
          <w:szCs w:val="20"/>
          <w:color w:val="auto"/>
        </w:rPr>
      </w:pPr>
    </w:p>
    <w:p>
      <w:pPr>
        <w:ind w:left="1260" w:right="16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 million in wages and benefits, $1.3 million in stock-based compensation expense, and $0.1 million for other employee-related expenses in relation to our research and development personnel; partially offset by a $1.5 million increase in professional services; and</w:t>
      </w:r>
    </w:p>
    <w:p>
      <w:pPr>
        <w:spacing w:after="0" w:line="1" w:lineRule="exact"/>
        <w:rPr>
          <w:rFonts w:ascii="Times New Roman" w:cs="Times New Roman" w:eastAsia="Times New Roman" w:hAnsi="Times New Roman"/>
          <w:sz w:val="20"/>
          <w:szCs w:val="20"/>
          <w:color w:val="auto"/>
        </w:rPr>
      </w:pPr>
    </w:p>
    <w:p>
      <w:pPr>
        <w:ind w:left="1260" w:right="340" w:hanging="720"/>
        <w:spacing w:after="0" w:line="261" w:lineRule="auto"/>
        <w:tabs>
          <w:tab w:leader="none" w:pos="12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million decrease in expenses related to facilities, overhead, depreciation, and other expenses due to strategic reductions made in these areas.</w:t>
      </w:r>
    </w:p>
    <w:p>
      <w:pPr>
        <w:sectPr>
          <w:pgSz w:w="12240" w:h="15840" w:orient="portrait"/>
          <w:cols w:equalWidth="0" w:num="1">
            <w:col w:w="9360"/>
          </w:cols>
          <w:pgMar w:left="1440" w:top="1371" w:right="1440" w:bottom="1440" w:gutter="0" w:footer="0" w:header="0"/>
          <w:type w:val="continuous"/>
        </w:sectPr>
      </w:pPr>
    </w:p>
    <w:bookmarkStart w:id="74" w:name="page75"/>
    <w:bookmarkEnd w:id="74"/>
    <w:p>
      <w:pPr>
        <w:ind w:right="14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shows our research and development expenses by program for the years ended December 31, 2025 and 2024 (in thousands):</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520" w:type="dxa"/>
            <w:vAlign w:val="bottom"/>
          </w:tcPr>
          <w:p>
            <w:pPr>
              <w:spacing w:after="0"/>
              <w:rPr>
                <w:sz w:val="23"/>
                <w:szCs w:val="23"/>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80" w:type="dxa"/>
            <w:vAlign w:val="bottom"/>
            <w:tcBorders>
              <w:bottom w:val="single" w:sz="8" w:color="auto"/>
            </w:tcBorders>
          </w:tcPr>
          <w:p>
            <w:pPr>
              <w:spacing w:after="0"/>
              <w:rPr>
                <w:sz w:val="23"/>
                <w:szCs w:val="23"/>
                <w:color w:val="auto"/>
              </w:rPr>
            </w:pPr>
          </w:p>
        </w:tc>
      </w:tr>
      <w:tr>
        <w:trPr>
          <w:trHeight w:val="265"/>
        </w:trPr>
        <w:tc>
          <w:tcPr>
            <w:tcW w:w="5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8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680" w:type="dxa"/>
            <w:vAlign w:val="bottom"/>
          </w:tcPr>
          <w:p>
            <w:pPr>
              <w:spacing w:after="0"/>
              <w:rPr>
                <w:sz w:val="23"/>
                <w:szCs w:val="23"/>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In-process research and development:</w:t>
            </w:r>
          </w:p>
        </w:tc>
        <w:tc>
          <w:tcPr>
            <w:tcW w:w="1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88"/>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AXN-2510/IMM2510 </w:t>
            </w:r>
            <w:r>
              <w:rPr>
                <w:rFonts w:ascii="Times New Roman" w:cs="Times New Roman" w:eastAsia="Times New Roman" w:hAnsi="Times New Roman"/>
                <w:sz w:val="20"/>
                <w:szCs w:val="20"/>
                <w:color w:val="B4B4B4"/>
              </w:rPr>
              <w:t>.....................................................................</w:t>
            </w:r>
          </w:p>
        </w:tc>
        <w:tc>
          <w:tcPr>
            <w:tcW w:w="118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AXN-2510/IMM2510 </w:t>
            </w:r>
            <w:r>
              <w:rPr>
                <w:rFonts w:ascii="Times New Roman" w:cs="Times New Roman" w:eastAsia="Times New Roman" w:hAnsi="Times New Roman"/>
                <w:sz w:val="20"/>
                <w:szCs w:val="20"/>
                <w:color w:val="B4B4B4"/>
              </w:rPr>
              <w:t>.....................................................................</w:t>
            </w:r>
          </w:p>
        </w:tc>
        <w:tc>
          <w:tcPr>
            <w:tcW w:w="1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20,351</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w:t>
            </w:r>
          </w:p>
        </w:tc>
      </w:tr>
      <w:tr>
        <w:trPr>
          <w:trHeight w:val="288"/>
        </w:trPr>
        <w:tc>
          <w:tcPr>
            <w:tcW w:w="5520" w:type="dxa"/>
            <w:vAlign w:val="bottom"/>
          </w:tcPr>
          <w:p>
            <w:pPr>
              <w:jc w:val="right"/>
              <w:spacing w:after="0" w:line="288" w:lineRule="exact"/>
              <w:rPr>
                <w:sz w:val="20"/>
                <w:szCs w:val="20"/>
                <w:color w:val="auto"/>
              </w:rPr>
            </w:pPr>
            <w:r>
              <w:rPr>
                <w:rFonts w:ascii="Times New Roman" w:cs="Times New Roman" w:eastAsia="Times New Roman" w:hAnsi="Times New Roman"/>
                <w:sz w:val="20"/>
                <w:szCs w:val="20"/>
                <w:color w:val="auto"/>
              </w:rPr>
              <w:t xml:space="preserve">Other program expenses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4B4B4"/>
              </w:rPr>
              <w:t>.............................................................</w:t>
            </w: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4,387</w:t>
            </w:r>
          </w:p>
        </w:tc>
        <w:tc>
          <w:tcPr>
            <w:tcW w:w="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10,547</w:t>
            </w:r>
          </w:p>
        </w:tc>
      </w:tr>
      <w:tr>
        <w:trPr>
          <w:trHeight w:val="26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Totalresearchanddevelopmentbyprogram</w:t>
            </w:r>
          </w:p>
        </w:tc>
        <w:tc>
          <w:tcPr>
            <w:tcW w:w="118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24,738</w:t>
            </w:r>
          </w:p>
        </w:tc>
        <w:tc>
          <w:tcPr>
            <w:tcW w:w="60" w:type="dxa"/>
            <w:vAlign w:val="bottom"/>
          </w:tcPr>
          <w:p>
            <w:pPr>
              <w:spacing w:after="0"/>
              <w:rPr>
                <w:sz w:val="23"/>
                <w:szCs w:val="23"/>
                <w:color w:val="auto"/>
              </w:rPr>
            </w:pPr>
          </w:p>
        </w:tc>
        <w:tc>
          <w:tcPr>
            <w:tcW w:w="118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11,838</w:t>
            </w:r>
          </w:p>
        </w:tc>
      </w:tr>
      <w:tr>
        <w:trPr>
          <w:trHeight w:val="24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research and development expenses </w:t>
            </w:r>
            <w:r>
              <w:rPr>
                <w:rFonts w:ascii="Times New Roman" w:cs="Times New Roman" w:eastAsia="Times New Roman" w:hAnsi="Times New Roman"/>
                <w:sz w:val="20"/>
                <w:szCs w:val="20"/>
                <w:color w:val="B4B4B4"/>
                <w:w w:val="99"/>
              </w:rPr>
              <w:t>..........................................</w:t>
            </w:r>
          </w:p>
        </w:tc>
        <w:tc>
          <w:tcPr>
            <w:tcW w:w="118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34,738</w:t>
            </w: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21,838</w:t>
            </w:r>
          </w:p>
        </w:tc>
      </w:tr>
      <w:tr>
        <w:trPr>
          <w:trHeight w:val="20"/>
        </w:trPr>
        <w:tc>
          <w:tcPr>
            <w:tcW w:w="55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5969000" cy="206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59690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206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59690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5969000" cy="20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59690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598170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598170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w:t>
      </w:r>
    </w:p>
    <w:p>
      <w:pPr>
        <w:spacing w:after="0" w:line="3" w:lineRule="exact"/>
        <w:rPr>
          <w:sz w:val="20"/>
          <w:szCs w:val="20"/>
          <w:color w:val="auto"/>
        </w:rPr>
      </w:pPr>
    </w:p>
    <w:p>
      <w:pPr>
        <w:ind w:left="540" w:hanging="540"/>
        <w:spacing w:after="0"/>
        <w:tabs>
          <w:tab w:leader="none" w:pos="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program expenses consist of costs related to our past development of our CoStAR-TIL technology.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General and administrative expenses were $27.2 million and $44.2 million for the years ended December 31,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 respectively. The net decrease of $17.0 million was primarily due to:</w:t>
      </w:r>
    </w:p>
    <w:p>
      <w:pPr>
        <w:spacing w:after="0" w:line="190" w:lineRule="exact"/>
        <w:rPr>
          <w:sz w:val="20"/>
          <w:szCs w:val="20"/>
          <w:color w:val="auto"/>
        </w:rPr>
      </w:pPr>
    </w:p>
    <w:p>
      <w:pPr>
        <w:ind w:left="1260" w:right="300" w:hanging="720"/>
        <w:spacing w:after="0" w:line="260" w:lineRule="auto"/>
        <w:tabs>
          <w:tab w:leader="none" w:pos="12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$10.5 million decrease in costs resulting from decreases in headcount and personnel related costs, including a decrease in stock-based compensation expense of $7.3 million;</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 million decrease in depreciation, facility costs, and insurance expenses; and</w:t>
      </w:r>
    </w:p>
    <w:p>
      <w:pPr>
        <w:spacing w:after="0" w:line="11" w:lineRule="exact"/>
        <w:rPr>
          <w:rFonts w:ascii="Times New Roman" w:cs="Times New Roman" w:eastAsia="Times New Roman" w:hAnsi="Times New Roman"/>
          <w:sz w:val="20"/>
          <w:szCs w:val="20"/>
          <w:color w:val="auto"/>
        </w:rPr>
      </w:pPr>
    </w:p>
    <w:p>
      <w:pPr>
        <w:ind w:left="1260" w:right="120" w:hanging="720"/>
        <w:spacing w:after="0" w:line="256" w:lineRule="auto"/>
        <w:tabs>
          <w:tab w:leader="none" w:pos="12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million decrease in consulting and professional service costs, mainly consisting of decreases in costs of business operations consultants of $2.0 million and information technology and facility consultants of $0.1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Impairment Charges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Restructuring and impairment charges were approximately $16.6 million and $7.5 million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respectively. The net increase of approximately $9.1 million was primarily due to:</w:t>
      </w:r>
    </w:p>
    <w:p>
      <w:pPr>
        <w:spacing w:after="0" w:line="190" w:lineRule="exact"/>
        <w:rPr>
          <w:sz w:val="20"/>
          <w:szCs w:val="20"/>
          <w:color w:val="auto"/>
        </w:rPr>
      </w:pPr>
    </w:p>
    <w:p>
      <w:pPr>
        <w:ind w:left="1260" w:right="520" w:hanging="720"/>
        <w:spacing w:after="0" w:line="260" w:lineRule="auto"/>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$12.2 million increase in costs from impairments of assets held for sale, primarily related to an impairment of the Tarzana facility; and</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$0.8 million increase in costs resulting from termination of contracts; partially offset by</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 million decrease in severance payments and benefits continuation costs;</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$0.8 million decrease in costs from impairments of right-of-use assets; and</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$0.3 million decrease in costs from leasehold improvement impairments.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Interest Expense, Other Rental Income and Other Income (Expense), Net</w:t>
      </w:r>
    </w:p>
    <w:p>
      <w:pPr>
        <w:spacing w:after="0" w:line="214"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Interest income, interest expense, other rental income and other income (expense), net was $7.2 million of income and $0.6 million of expense for the years ended December 31, 2025 and 2024, respectively. The increase in income of $7.8 million was primarily due to:</w:t>
      </w:r>
    </w:p>
    <w:p>
      <w:pPr>
        <w:spacing w:after="0" w:line="155" w:lineRule="exact"/>
        <w:rPr>
          <w:sz w:val="20"/>
          <w:szCs w:val="20"/>
          <w:color w:val="auto"/>
        </w:rPr>
      </w:pPr>
    </w:p>
    <w:p>
      <w:pPr>
        <w:ind w:left="1260" w:hanging="720"/>
        <w:spacing w:after="0"/>
        <w:tabs>
          <w:tab w:leader="none" w:pos="12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 million increase in rental income related to the Tarzana facility;</w:t>
      </w:r>
    </w:p>
    <w:p>
      <w:pPr>
        <w:spacing w:after="0" w:line="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million decrease of interest expense from our debt;</w:t>
      </w:r>
    </w:p>
    <w:p>
      <w:pPr>
        <w:spacing w:after="0" w:line="11" w:lineRule="exact"/>
        <w:rPr>
          <w:rFonts w:ascii="Times New Roman" w:cs="Times New Roman" w:eastAsia="Times New Roman" w:hAnsi="Times New Roman"/>
          <w:sz w:val="20"/>
          <w:szCs w:val="20"/>
          <w:color w:val="auto"/>
        </w:rPr>
      </w:pPr>
    </w:p>
    <w:p>
      <w:pPr>
        <w:ind w:left="1260" w:right="520" w:hanging="720"/>
        <w:spacing w:after="0" w:line="250" w:lineRule="auto"/>
        <w:tabs>
          <w:tab w:leader="none" w:pos="12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 million decrease in other losses, including change in fair value from terminated derivative financial instruments and debt extinguishment; and</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$0.6 million increase due to gain on foreign currency transactions; partially offset by</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million decrease of interest income related to our investments.</w:t>
      </w:r>
    </w:p>
    <w:p>
      <w:pPr>
        <w:sectPr>
          <w:pgSz w:w="12240" w:h="15840" w:orient="portrait"/>
          <w:cols w:equalWidth="0" w:num="1">
            <w:col w:w="9360"/>
          </w:cols>
          <w:pgMar w:left="1440" w:top="137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19" w:lineRule="exact"/>
        <w:rPr>
          <w:sz w:val="20"/>
          <w:szCs w:val="20"/>
          <w:color w:val="auto"/>
        </w:rPr>
      </w:pPr>
    </w:p>
    <w:p>
      <w:pPr>
        <w:ind w:right="240" w:firstLine="450"/>
        <w:spacing w:after="0" w:line="286" w:lineRule="auto"/>
        <w:rPr>
          <w:sz w:val="20"/>
          <w:szCs w:val="20"/>
          <w:color w:val="auto"/>
        </w:rPr>
      </w:pPr>
      <w:r>
        <w:rPr>
          <w:rFonts w:ascii="Times New Roman" w:cs="Times New Roman" w:eastAsia="Times New Roman" w:hAnsi="Times New Roman"/>
          <w:sz w:val="19"/>
          <w:szCs w:val="19"/>
          <w:color w:val="auto"/>
        </w:rPr>
        <w:t>Since our inception, we have not generated any revenue from product sales and we have incurred significant operating losses. We do not have any products that have achieved regulatory marketing approval and we do not expect to generate revenue from commercial sales of any product candidate for at least several years, if ever.</w:t>
      </w:r>
    </w:p>
    <w:p>
      <w:pPr>
        <w:spacing w:after="0" w:line="13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Prior to our initial public offering, or IPO, we funded our operations primarily through the issuance and sale of convertible preferred stock. From our inception through March 2021, prior to our IPO, we raised net cash proceeds of $380.1 million from the issuance and sale of our convertible preferred stock.</w:t>
      </w:r>
    </w:p>
    <w:p>
      <w:pPr>
        <w:spacing w:after="0" w:line="155" w:lineRule="exact"/>
        <w:rPr>
          <w:sz w:val="20"/>
          <w:szCs w:val="20"/>
          <w:color w:val="auto"/>
        </w:rPr>
      </w:pPr>
    </w:p>
    <w:p>
      <w:pPr>
        <w:ind w:right="160" w:firstLine="450"/>
        <w:spacing w:after="0" w:line="281" w:lineRule="auto"/>
        <w:rPr>
          <w:sz w:val="20"/>
          <w:szCs w:val="20"/>
          <w:color w:val="auto"/>
        </w:rPr>
      </w:pPr>
      <w:r>
        <w:rPr>
          <w:rFonts w:ascii="Times New Roman" w:cs="Times New Roman" w:eastAsia="Times New Roman" w:hAnsi="Times New Roman"/>
          <w:sz w:val="20"/>
          <w:szCs w:val="20"/>
          <w:color w:val="auto"/>
        </w:rPr>
        <w:t>In the first quarter of 2021, we raised net proceeds of $339.0 million in our IPO pursuant to which we sold an aggregate of 920,000 shares of common stock.</w:t>
      </w:r>
    </w:p>
    <w:p>
      <w:pPr>
        <w:spacing w:after="0" w:line="141"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20"/>
          <w:szCs w:val="20"/>
          <w:color w:val="auto"/>
        </w:rPr>
        <w:t>In June 2022, our wholly owned subsidiaries, Complex Therapeutics Mezzanine LLC and Complex Therapeutics LLC, entered into a mortgage construction loan and mezzanine construction loan, or together, the Construction Loans, secured by Complex Therapeutics LLC's Tarzana, California land and building. Construction of the Tarzana facility was subsequently completed and in 2024 the facility was leased to AstraZeneca Pharmaceuticals LP, or Tenant. The initial principal amount of the Construction Loans was $52.1 million, with additional future principal of up to $32.9 million to fund then ongoing construction costs. During the year ended December 31, 2024, Complex Therapeutics LLC refinanced the outstanding principal amount under the Construction Loans and we treated it as an extinguishment for accounting purposes. On December 20, 2024, or the Closing Date, Complex Therapeutics LLC entered into a Term Loan Agreement and related loan documents with Midland National Life Insurance Company, or Midland, pursuant to which Midland loaned Complex Therapeutics LLC a term loan in the principal amount of $85.6 million, or the 2024 Loan, to refinance the Construction Loans secured by the Tarzana facility. Substantially all of the 2024 Loan proceeds were used to repay in full the Construction Loans. As of December 31, 2025, the outstanding principal amount under the 2024 Loan was $85.6 million and unamortized debt issuance costs were $0.8 million.</w:t>
      </w:r>
    </w:p>
    <w:p>
      <w:pPr>
        <w:spacing w:after="0" w:line="179"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The 2024 Loan may be prepaid in whole but not in part. If the 2024 Loan is prepaid on or prior to the 12-month anniversary of the Closing Date, a prepayment fee would have been required (other than in connection with a casualty or condemnation event) to make Midland whole for the interest it would have otherwise earned on the 2024 Loan during the first 12 months of the 2024 Loan. There is no prepayment fee due if the 2024 Loan is prepaid after the 12-month anniversary of the Closing Date.</w:t>
      </w:r>
    </w:p>
    <w:p>
      <w:pPr>
        <w:spacing w:after="0" w:line="164" w:lineRule="exact"/>
        <w:rPr>
          <w:sz w:val="20"/>
          <w:szCs w:val="20"/>
          <w:color w:val="auto"/>
        </w:rPr>
      </w:pPr>
    </w:p>
    <w:p>
      <w:pPr>
        <w:ind w:right="100" w:firstLine="450"/>
        <w:spacing w:after="0" w:line="253" w:lineRule="auto"/>
        <w:rPr>
          <w:sz w:val="20"/>
          <w:szCs w:val="20"/>
          <w:color w:val="auto"/>
        </w:rPr>
      </w:pPr>
      <w:r>
        <w:rPr>
          <w:rFonts w:ascii="Times New Roman" w:cs="Times New Roman" w:eastAsia="Times New Roman" w:hAnsi="Times New Roman"/>
          <w:sz w:val="20"/>
          <w:szCs w:val="20"/>
          <w:color w:val="auto"/>
        </w:rPr>
        <w:t>The 2024 Loan has a term of two years with a one-year extension option. The extension option is subject to certain conditions being met, including: (a) no potential default or event of default, (b) payment of a 0.35% extension fee and the costs and expenses of Midland incurred in connection with the extension, (c) replenishing of all reserve funds as reasonably determined by Midland, and (d) compliance with minimum debt yield and debt service coverage ratio requirements. The 2024 Loan bears interest at a fixed rate of 6.35% per annum, with interest-only payments during the term of the 2024 Loan and the principal balance due in full at maturity. We expect Complex Therapeutics LLC to meet all requirements necessary to exercise the extension to extend the maturity by one year to January 2028. We expect that written notice to extend the loan will be provided as early as the 2024 Loan permits, which is no sooner than one hundred twenty days from its maturity date and no later than thirty days before its maturity date.</w:t>
      </w:r>
    </w:p>
    <w:p>
      <w:pPr>
        <w:spacing w:after="0" w:line="176" w:lineRule="exact"/>
        <w:rPr>
          <w:sz w:val="20"/>
          <w:szCs w:val="20"/>
          <w:color w:val="auto"/>
        </w:rPr>
      </w:pPr>
    </w:p>
    <w:p>
      <w:pPr>
        <w:ind w:right="280" w:firstLine="450"/>
        <w:spacing w:after="0" w:line="266" w:lineRule="auto"/>
        <w:rPr>
          <w:sz w:val="20"/>
          <w:szCs w:val="20"/>
          <w:color w:val="auto"/>
        </w:rPr>
      </w:pPr>
      <w:r>
        <w:rPr>
          <w:rFonts w:ascii="Times New Roman" w:cs="Times New Roman" w:eastAsia="Times New Roman" w:hAnsi="Times New Roman"/>
          <w:sz w:val="20"/>
          <w:szCs w:val="20"/>
          <w:color w:val="auto"/>
        </w:rPr>
        <w:t>On November 13, 2024, we filed a shelf registration statement on Form S-3 with the SEC, which the SEC declared effective on November 21, 2024. Pursuant to our shelf registration statement we may, from time to time, sell up to an aggregate of $200 million of our common stock, preferred stock, debt securities or warrants.</w:t>
      </w:r>
    </w:p>
    <w:p>
      <w:pPr>
        <w:spacing w:after="0" w:line="155" w:lineRule="exact"/>
        <w:rPr>
          <w:sz w:val="20"/>
          <w:szCs w:val="20"/>
          <w:color w:val="auto"/>
        </w:rPr>
      </w:pPr>
    </w:p>
    <w:p>
      <w:pPr>
        <w:ind w:right="100" w:firstLine="450"/>
        <w:spacing w:after="0"/>
        <w:rPr>
          <w:sz w:val="20"/>
          <w:szCs w:val="20"/>
          <w:color w:val="auto"/>
        </w:rPr>
      </w:pPr>
      <w:r>
        <w:rPr>
          <w:rFonts w:ascii="Times New Roman" w:cs="Times New Roman" w:eastAsia="Times New Roman" w:hAnsi="Times New Roman"/>
          <w:sz w:val="20"/>
          <w:szCs w:val="20"/>
          <w:color w:val="auto"/>
        </w:rPr>
        <w:t>In March 2025, we entered into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with Jefferies LLC, or Jefferies, as sales agent, under which we may offer and sell, from time to time, shares of our common stock through Jefferies, with an aggregate offering price of up to $100 million by methods deemed to be an “at the market offering,” or the ATM Program.</w:t>
      </w:r>
    </w:p>
    <w:p>
      <w:pPr>
        <w:sectPr>
          <w:pgSz w:w="12240" w:h="15840" w:orient="portrait"/>
          <w:cols w:equalWidth="0" w:num="1">
            <w:col w:w="9360"/>
          </w:cols>
          <w:pgMar w:left="1440" w:top="1371" w:right="1440" w:bottom="1040" w:gutter="0" w:footer="0" w:header="0"/>
        </w:sectPr>
      </w:pPr>
    </w:p>
    <w:bookmarkStart w:id="76" w:name="page77"/>
    <w:bookmarkEnd w:id="76"/>
    <w:p>
      <w:pPr>
        <w:jc w:val="both"/>
        <w:ind w:right="140" w:firstLine="450"/>
        <w:spacing w:after="0" w:line="286" w:lineRule="auto"/>
        <w:rPr>
          <w:sz w:val="20"/>
          <w:szCs w:val="20"/>
          <w:color w:val="auto"/>
        </w:rPr>
      </w:pPr>
      <w:r>
        <w:rPr>
          <w:rFonts w:ascii="Times New Roman" w:cs="Times New Roman" w:eastAsia="Times New Roman" w:hAnsi="Times New Roman"/>
          <w:sz w:val="19"/>
          <w:szCs w:val="19"/>
          <w:color w:val="auto"/>
        </w:rPr>
        <w:t>As of December 31, 2025, we had sold an aggregate of 185,837 shares of our common stock under the ATM Program for net proceeds of $6.6 million after deducting commissions and expenses of approximately $0.3 million. The remaining availability under the ATM Program as of December 31, 2025 was approximately $93.1 million.</w:t>
      </w:r>
    </w:p>
    <w:p>
      <w:pPr>
        <w:spacing w:after="0" w:line="139" w:lineRule="exact"/>
        <w:rPr>
          <w:sz w:val="20"/>
          <w:szCs w:val="20"/>
          <w:color w:val="auto"/>
        </w:rPr>
      </w:pPr>
    </w:p>
    <w:p>
      <w:pPr>
        <w:ind w:right="320" w:firstLine="450"/>
        <w:spacing w:after="0" w:line="260" w:lineRule="auto"/>
        <w:rPr>
          <w:sz w:val="20"/>
          <w:szCs w:val="20"/>
          <w:color w:val="auto"/>
        </w:rPr>
      </w:pPr>
      <w:r>
        <w:rPr>
          <w:rFonts w:ascii="Times New Roman" w:cs="Times New Roman" w:eastAsia="Times New Roman" w:hAnsi="Times New Roman"/>
          <w:sz w:val="20"/>
          <w:szCs w:val="20"/>
          <w:color w:val="auto"/>
        </w:rPr>
        <w:t>As of December 31, 2025, we had cash, cash equivalents, restricted cash and marketable securities of $76.3 million, which consisted of $6.6 million in cash and cash equivalents, $0.2 million in restricted cash and</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$69.5 million in marketable securities. Cash in excess of immediate requirements is invested in accordance with our investment policy, primarily with a view to liquidity and capital preservation.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219"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Based on our current operating plan, we believe our existing cash, cash equivalents, restricted cash and marketable securities will be sufficient to fund our operating expenses and capital expenditure requirements beyond 2027.</w:t>
      </w:r>
    </w:p>
    <w:p>
      <w:pPr>
        <w:spacing w:after="0" w:line="155" w:lineRule="exact"/>
        <w:rPr>
          <w:sz w:val="20"/>
          <w:szCs w:val="20"/>
          <w:color w:val="auto"/>
        </w:rPr>
      </w:pPr>
    </w:p>
    <w:p>
      <w:pPr>
        <w:ind w:right="20" w:firstLine="450"/>
        <w:spacing w:after="0" w:line="272"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on a going concern basis, which contemplates the realization of assets and the satisfaction of liabilities in the normal course of business. We evaluated our ability to continue as a going concern for the twelve months following the issuance of the consolidated financial statements. As disclosed and defined in Note 8, the 2024 Loan is due in January 2027, for total principal of $85.6 million which is in excess of cash, cash equivalents, and marketable securities on hand as of December 31, 2025, which we concluded is an indicator of substantial doubt about our ability to continue as a going concern.</w:t>
      </w:r>
    </w:p>
    <w:p>
      <w:pPr>
        <w:spacing w:after="0" w:line="154" w:lineRule="exact"/>
        <w:rPr>
          <w:sz w:val="20"/>
          <w:szCs w:val="20"/>
          <w:color w:val="auto"/>
        </w:rPr>
      </w:pPr>
    </w:p>
    <w:p>
      <w:pPr>
        <w:ind w:right="40" w:firstLine="450"/>
        <w:spacing w:after="0" w:line="238" w:lineRule="auto"/>
        <w:rPr>
          <w:sz w:val="20"/>
          <w:szCs w:val="20"/>
          <w:color w:val="auto"/>
        </w:rPr>
      </w:pPr>
      <w:r>
        <w:rPr>
          <w:rFonts w:ascii="Times New Roman" w:cs="Times New Roman" w:eastAsia="Times New Roman" w:hAnsi="Times New Roman"/>
          <w:sz w:val="20"/>
          <w:szCs w:val="20"/>
          <w:color w:val="auto"/>
        </w:rPr>
        <w:t>If we are unable to refinance the 2024 Loan prior to maturity, we plan to execute our contractual right to extend the maturity of the 2024 Loan to January 2028. In addition to our plan to exercise the extension option in the 2024 Loan, we may seek to refinance or restructure the 2024 Loan including by extending its maturity date beyond the extended date, sell the building to repay the 2024 Loan, or seek additional financing in the form of equity or debt instruments. There can be no assurance that new financing or other forms of funding will be available on favorable terms or at all. We concluded that our contractual right to exercise the extension option to January 2028 is solely within our control and alleviates the conditions that raise substantial doubt about our ability to continue as a going concern.</w:t>
      </w:r>
    </w:p>
    <w:p>
      <w:pPr>
        <w:spacing w:after="0" w:line="193"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use our cash to fund operations, primarily to fund our business development, research and development expenditures and related personnel costs. We expect our expenses to continue to be significant as we invest in research and development activities, particularly if we in-license or acquire product candidates, advance one or more product candidates into later stages of development and conduct clinical trials, seek regulatory approvals for and commercialize any product candidates that successfully complete clinical trials, hire personnel and invest in and grow our business, expand and protect our intellectual property portfolio, and operate as a public company. Because of the numerous risks and uncertainties associated with acquiring product candidates, and the research, development and commercialization of product candidates, we are unable to estimate the exact timing and amount of our funding requirements. Our future operating expenditures will depend on many factors, including:</w:t>
      </w:r>
    </w:p>
    <w:p>
      <w:pPr>
        <w:spacing w:after="0" w:line="169" w:lineRule="exact"/>
        <w:rPr>
          <w:sz w:val="20"/>
          <w:szCs w:val="20"/>
          <w:color w:val="auto"/>
        </w:rPr>
      </w:pPr>
    </w:p>
    <w:p>
      <w:pPr>
        <w:ind w:left="1260" w:hanging="720"/>
        <w:spacing w:after="0"/>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other companies’ product candidates and technologies;</w:t>
      </w:r>
    </w:p>
    <w:p>
      <w:pPr>
        <w:spacing w:after="0" w:line="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rate of progress, costs and results of future clinical and preclinical development activities;</w:t>
      </w:r>
    </w:p>
    <w:p>
      <w:pPr>
        <w:spacing w:after="0" w:line="11" w:lineRule="exact"/>
        <w:rPr>
          <w:rFonts w:ascii="Times New Roman" w:cs="Times New Roman" w:eastAsia="Times New Roman" w:hAnsi="Times New Roman"/>
          <w:sz w:val="20"/>
          <w:szCs w:val="20"/>
          <w:color w:val="auto"/>
        </w:rPr>
      </w:pPr>
    </w:p>
    <w:p>
      <w:pPr>
        <w:ind w:left="1260" w:right="360" w:hanging="720"/>
        <w:spacing w:after="0" w:line="250" w:lineRule="auto"/>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any product candidates, and the number of trials required for regulatory approval;</w:t>
      </w:r>
    </w:p>
    <w:p>
      <w:pPr>
        <w:spacing w:after="0" w:line="1" w:lineRule="exact"/>
        <w:rPr>
          <w:rFonts w:ascii="Times New Roman" w:cs="Times New Roman" w:eastAsia="Times New Roman" w:hAnsi="Times New Roman"/>
          <w:sz w:val="20"/>
          <w:szCs w:val="20"/>
          <w:color w:val="auto"/>
        </w:rPr>
      </w:pPr>
    </w:p>
    <w:p>
      <w:pPr>
        <w:ind w:left="1260" w:right="900" w:hanging="720"/>
        <w:spacing w:after="0" w:line="250" w:lineRule="auto"/>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manufacturing any product candidates, as well as any products we successfully commercialize;</w:t>
      </w:r>
    </w:p>
    <w:p>
      <w:pPr>
        <w:spacing w:after="0" w:line="1" w:lineRule="exact"/>
        <w:rPr>
          <w:rFonts w:ascii="Times New Roman" w:cs="Times New Roman" w:eastAsia="Times New Roman" w:hAnsi="Times New Roman"/>
          <w:sz w:val="20"/>
          <w:szCs w:val="20"/>
          <w:color w:val="auto"/>
        </w:rPr>
      </w:pPr>
    </w:p>
    <w:p>
      <w:pPr>
        <w:ind w:left="1260" w:right="340" w:hanging="720"/>
        <w:spacing w:after="0" w:line="250" w:lineRule="auto"/>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commercialization activities of any product candidates, if approved for sale, including marketing, sales and distribution costs;</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receipt and amount of sales of any product candidates, if approved;</w:t>
      </w:r>
    </w:p>
    <w:p>
      <w:pPr>
        <w:spacing w:after="0" w:line="11" w:lineRule="exact"/>
        <w:rPr>
          <w:rFonts w:ascii="Times New Roman" w:cs="Times New Roman" w:eastAsia="Times New Roman" w:hAnsi="Times New Roman"/>
          <w:sz w:val="20"/>
          <w:szCs w:val="20"/>
          <w:color w:val="auto"/>
        </w:rPr>
      </w:pPr>
    </w:p>
    <w:p>
      <w:pPr>
        <w:ind w:left="1260" w:right="60" w:hanging="720"/>
        <w:spacing w:after="0" w:line="250" w:lineRule="auto"/>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strategic collaborations, licensing or other arrangements and the financial terms of any such arrangements, including the timing and amount of any future milestone, royalty or other payments due under any such agreement;</w:t>
      </w:r>
    </w:p>
    <w:p>
      <w:pPr>
        <w:spacing w:after="0" w:line="2"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 liability or other lawsuits or claims;</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expenses needed to attract, hire and retain skilled personnel;</w:t>
      </w:r>
    </w:p>
    <w:p>
      <w:pPr>
        <w:sectPr>
          <w:pgSz w:w="12240" w:h="15840" w:orient="portrait"/>
          <w:cols w:equalWidth="0" w:num="1">
            <w:col w:w="9360"/>
          </w:cols>
          <w:pgMar w:left="1440" w:top="1378" w:right="1440" w:bottom="1063" w:gutter="0" w:footer="0" w:header="0"/>
        </w:sectPr>
      </w:pPr>
    </w:p>
    <w:bookmarkStart w:id="77" w:name="page78"/>
    <w:bookmarkEnd w:id="77"/>
    <w:p>
      <w:pPr>
        <w:ind w:left="1260" w:hanging="720"/>
        <w:spacing w:after="0"/>
        <w:tabs>
          <w:tab w:leader="none" w:pos="12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investments in our operational, financial and management information systems;</w:t>
      </w:r>
    </w:p>
    <w:p>
      <w:pPr>
        <w:spacing w:after="0" w:line="30"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associated with operating as a public company;</w:t>
      </w:r>
    </w:p>
    <w:p>
      <w:pPr>
        <w:spacing w:after="0" w:line="11" w:lineRule="exact"/>
        <w:rPr>
          <w:rFonts w:ascii="Times New Roman" w:cs="Times New Roman" w:eastAsia="Times New Roman" w:hAnsi="Times New Roman"/>
          <w:sz w:val="20"/>
          <w:szCs w:val="20"/>
          <w:color w:val="auto"/>
        </w:rPr>
      </w:pPr>
    </w:p>
    <w:p>
      <w:pPr>
        <w:ind w:left="1260" w:right="620" w:hanging="720"/>
        <w:spacing w:after="0" w:line="250" w:lineRule="auto"/>
        <w:tabs>
          <w:tab w:leader="none" w:pos="12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involved in preparing, filing, prosecuting, maintaining, defending and enforcing any intellectual property portfolio we may acquire;</w:t>
      </w:r>
    </w:p>
    <w:p>
      <w:pPr>
        <w:spacing w:after="0" w:line="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the Tarzana facility; and</w:t>
      </w:r>
    </w:p>
    <w:p>
      <w:pPr>
        <w:spacing w:after="0" w:line="11" w:lineRule="exact"/>
        <w:rPr>
          <w:rFonts w:ascii="Times New Roman" w:cs="Times New Roman" w:eastAsia="Times New Roman" w:hAnsi="Times New Roman"/>
          <w:sz w:val="20"/>
          <w:szCs w:val="20"/>
          <w:color w:val="auto"/>
        </w:rPr>
      </w:pPr>
    </w:p>
    <w:p>
      <w:pPr>
        <w:ind w:left="1260" w:hanging="720"/>
        <w:spacing w:after="0"/>
        <w:tabs>
          <w:tab w:leader="none" w:pos="12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delays or issues resulting from the impact of adverse geopolitical and economic conditions.</w:t>
      </w:r>
    </w:p>
    <w:p>
      <w:pPr>
        <w:spacing w:after="0" w:line="19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20"/>
          <w:szCs w:val="20"/>
          <w:color w:val="auto"/>
        </w:rPr>
        <w:t>Until we can generate substantial revenue from sales of a product candidate, if that occurs, we plan to fund our operations through equity offerings, debt financings, leasing income, or other capital sources. This may include strategic collaborations or other arrangements with third parties. Additional funds may not be available to us on acceptable terms or at all. If we raise additional funds by issuing equity or convertible debt securities, our stockholders will suffer dilution, and the terms of these securities may include liquidation or other preferences that adversely affect the rights of our common stockholders. Debt financing, if available, may involve restrictive covenants limiting our flexibility in conducting future business activities, and, in the event of insolvency, debt holders would be repaid before holders of our equity securities receive any distribution of our corporate assets. If we raise funds through collaborations or other similar arrangements with third parties, we may have to relinquish valuable rights to technologies, future revenue streams, product candidates or research programs or grant licenses on terms that may not be favorable to us and/or may reduce the value of our common stock. Our ability to raise additional funds may be adversely impacted by worsening global economic conditions and the recent disruptions to, and volatility in, the credit and financial markets in the United States and worldwide resulting from, among other things, heightened inflation, fluctuations in interest rates, military conflicts, including in Ukraine and the Middle East, tariffs and recent and potential trade wars. If we fail to obtain necessary capital when needed on acceptable terms, or at all, it could force us to delay, limit, reduce or terminate our product development programs, commercialization efforts or other operations. See “Risk Factors.”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39" w:lineRule="exact"/>
        <w:rPr>
          <w:sz w:val="20"/>
          <w:szCs w:val="20"/>
          <w:color w:val="auto"/>
        </w:rPr>
      </w:pPr>
    </w:p>
    <w:p>
      <w:pPr>
        <w:ind w:right="6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significant sources and uses of cash for the periods set forth below (in thousands):</w:t>
      </w:r>
    </w:p>
    <w:p>
      <w:pPr>
        <w:sectPr>
          <w:pgSz w:w="12240" w:h="15840" w:orient="portrait"/>
          <w:cols w:equalWidth="0" w:num="1">
            <w:col w:w="9360"/>
          </w:cols>
          <w:pgMar w:left="1440" w:top="1378"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5943600" cy="955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5943600" cy="955675"/>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Cash used in operating activities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 xml:space="preserve">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Cash provided by investing activities </w:t>
      </w:r>
      <w:r>
        <w:rPr>
          <w:rFonts w:ascii="Times New Roman" w:cs="Times New Roman" w:eastAsia="Times New Roman" w:hAnsi="Times New Roman"/>
          <w:sz w:val="20"/>
          <w:szCs w:val="20"/>
          <w:color w:val="B4B4B4"/>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Cash provided by financing activities </w:t>
      </w:r>
      <w:r>
        <w:rPr>
          <w:rFonts w:ascii="Times New Roman" w:cs="Times New Roman" w:eastAsia="Times New Roman" w:hAnsi="Times New Roman"/>
          <w:sz w:val="20"/>
          <w:szCs w:val="20"/>
          <w:color w:val="B4B4B4"/>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Net (decrease) increase in cash, cash equivalents, and restricted cash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-431800</wp:posOffset>
                </wp:positionH>
                <wp:positionV relativeFrom="paragraph">
                  <wp:posOffset>29845</wp:posOffset>
                </wp:positionV>
                <wp:extent cx="23241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pt,2.35pt" to="149pt,2.35pt" o:allowincell="f" strokecolor="#000000" strokeweight="1pt"/>
            </w:pict>
          </mc:Fallback>
        </mc:AlternateContent>
      </w:r>
    </w:p>
    <w:p>
      <w:pPr>
        <w:spacing w:after="0" w:line="35" w:lineRule="exact"/>
        <w:rPr>
          <w:sz w:val="20"/>
          <w:szCs w:val="20"/>
          <w:color w:val="auto"/>
        </w:rPr>
      </w:pPr>
    </w:p>
    <w:p>
      <w:pPr>
        <w:ind w:left="20"/>
        <w:spacing w:after="0"/>
        <w:tabs>
          <w:tab w:leader="none" w:pos="186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344" w:lineRule="exact"/>
        <w:rPr>
          <w:sz w:val="20"/>
          <w:szCs w:val="20"/>
          <w:color w:val="auto"/>
        </w:rPr>
      </w:pPr>
    </w:p>
    <w:tbl>
      <w:tblPr>
        <w:tblLayout w:type="fixed"/>
        <w:tblInd w:w="420" w:type="dxa"/>
        <w:tblCellMar>
          <w:top w:w="0" w:type="dxa"/>
          <w:left w:w="0" w:type="dxa"/>
          <w:bottom w:w="0" w:type="dxa"/>
          <w:right w:w="0" w:type="dxa"/>
        </w:tblCellMar>
      </w:tblPr>
      <w:tr>
        <w:trPr>
          <w:trHeight w:val="260"/>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(36,619)</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(55,696)</w:t>
            </w:r>
          </w:p>
        </w:tc>
      </w:tr>
      <w:tr>
        <w:trPr>
          <w:trHeight w:val="285"/>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25,476</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53,974</w:t>
            </w:r>
          </w:p>
        </w:tc>
      </w:tr>
      <w:tr>
        <w:trPr>
          <w:trHeight w:val="288"/>
        </w:trPr>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7,292</w:t>
            </w: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w:t>
            </w:r>
          </w:p>
        </w:tc>
      </w:tr>
      <w:tr>
        <w:trPr>
          <w:trHeight w:val="245"/>
        </w:trPr>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(3,851)</w:t>
            </w:r>
          </w:p>
        </w:tc>
        <w:tc>
          <w:tcPr>
            <w:tcW w:w="6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0"/>
        </w:trPr>
        <w:tc>
          <w:tcPr>
            <w:tcW w:w="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800" w:space="520"/>
            <w:col w:w="3040"/>
          </w:cols>
          <w:pgMar w:left="1440" w:top="1378" w:right="1440" w:bottom="1440" w:gutter="0" w:footer="0" w:header="0"/>
          <w:type w:val="continuous"/>
        </w:sectPr>
      </w:pP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14"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9"/>
          <w:szCs w:val="19"/>
          <w:color w:val="auto"/>
        </w:rPr>
        <w:t>Cash used in operating activities for the year ended December 31, 2025 was $36.6 million, which consisted of the net loss of $71.4 million and a $0.6 million net change to our net operating assets and liabilities, partially offset by $35.4 million in non-cash charges and other adjustments to reconcile net loss to net cash used in operating activities. The net change in our operating assets and liabilities was primarily due to an increase of $3.4 million in accrued rent receivable, a decrease of $2.3 million in accrued expenses and other current liabilities, a decrease of $1.4 million in operating lease liabilities, and a decrease of $0.1 million in long-term liabilities partially offset by a decrease of $6.1 million in prepaid expenses and other current assets, a decrease of $0.4 million in other long-term assets, and an increase of $0.1 million in accounts payable. The non-cash charges primarily consisted of impairment of property, plant and equipment of $16.6 million, in-process research and development expenses of $10.0 million, stock-based compensation of $8.7 million, non-cash interest expense of $0.8 million, depreciation expense of $0.5</w:t>
      </w:r>
    </w:p>
    <w:p>
      <w:pPr>
        <w:sectPr>
          <w:pgSz w:w="12240" w:h="15840" w:orient="portrait"/>
          <w:cols w:equalWidth="0" w:num="1">
            <w:col w:w="9360"/>
          </w:cols>
          <w:pgMar w:left="1440" w:top="1378" w:right="1440" w:bottom="1440" w:gutter="0" w:footer="0" w:header="0"/>
          <w:type w:val="continuous"/>
        </w:sectPr>
      </w:pPr>
    </w:p>
    <w:bookmarkStart w:id="78" w:name="page79"/>
    <w:bookmarkEnd w:id="78"/>
    <w:p>
      <w:pPr>
        <w:ind w:right="340"/>
        <w:spacing w:after="0" w:line="281" w:lineRule="auto"/>
        <w:rPr>
          <w:sz w:val="20"/>
          <w:szCs w:val="20"/>
          <w:color w:val="auto"/>
        </w:rPr>
      </w:pPr>
      <w:r>
        <w:rPr>
          <w:rFonts w:ascii="Times New Roman" w:cs="Times New Roman" w:eastAsia="Times New Roman" w:hAnsi="Times New Roman"/>
          <w:sz w:val="20"/>
          <w:szCs w:val="20"/>
          <w:color w:val="auto"/>
        </w:rPr>
        <w:t>million, and non-cash lease expenses of $0.2 million; partially offset by a decrease in the fair value of contingent consideration of $0.9 million, and a change in foreign exchange remeasurement of $0.5 million.</w:t>
      </w:r>
    </w:p>
    <w:p>
      <w:pPr>
        <w:spacing w:after="0" w:line="141"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Cash used in operating activities for the year ended December 31, 2024 was $55.7 million, which consisted of the net loss of $74.1 million and a $12.6 million net change to our net operating assets and liabilities, partially offset by $31.0 million in non-cash charges and other adjustments to reconcile net loss to net cash used in operating activities. The net change in our operating assets and liabilities was primarily due to a decrease of $1.9 million in accrued expenses, accrued restructuring costs, and other current liabilities, a decrease of $1.4 million in operating lease liabilities, a decrease of $0.6 million in accounts payable, an increase of $0.2 million in prepaid expenses and other current assets, an increase of $4.2 million in accrued rent receivable, and an increase of $4.4 million in other long-term assets. The non-cash charges primarily consisted of stock-based compensation of $17.3 million, in-process research and development expenses of $10.0 million, impairment of property, plant and equipment of $4.3 million, impairment of right-of-use assets of $0.8 million and depreciation expense of $3.6 million, offset by accretion on invested securities of $4.3 million and decrease in the fair value of contingent consideration $3.9 million.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214"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Cash provided by investing activities for the year ended December 31, 2025 was $25.5 million, consisting primarily of $35.0 million of cash provided by marketable securities investments and $0.4 million of cash received from asset disposals, offset by $10.0 million of acquired in-process research and development.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Cash provided by investing activities for the year ended December 31, 2024 was $54.0 million, consisting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primarily of $64.1 million of cash provided by marketable securities investments, $0.9 million of cash received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 disposals and $0.6 million of cash received from termination of derivative financial instruments, offset by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million of acquired in-process research and development and $1.6 million from the renewal of our derivative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instrument.</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14"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2025 was $7.3 million, which primarily consisted of net proceeds from our ATM Program of $6.6 million and net proceeds from the exercise of stock options of $0.9 million, partially offset by closing costs related to the 2024 Loan of $0.2 million.</w:t>
      </w:r>
    </w:p>
    <w:p>
      <w:pPr>
        <w:spacing w:after="0" w:line="155" w:lineRule="exact"/>
        <w:rPr>
          <w:sz w:val="20"/>
          <w:szCs w:val="20"/>
          <w:color w:val="auto"/>
        </w:rPr>
      </w:pPr>
    </w:p>
    <w:p>
      <w:pPr>
        <w:ind w:right="140" w:firstLine="450"/>
        <w:spacing w:after="0" w:line="260"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2024 was $1.8 million, which was primarily related to net cash proceeds from the 2024 Loan of $85.6 million and proceeds from the exercise of stock options of $0.4 million, partially offset by principal repayments of our Construction Loans of $82.8 million and closing costs related to the 2024 Loan of $1.4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17"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As of December 31, 2025, the outstanding principal amount under the 2024 Loan was $85.6 million and unamortized debt issuance costs were $0.8 million. The 2024 Loan matures on January 10, 2027, or the scheduled maturity date, and includes a one year extension option. Notice to exercise the extension may be provided no earlier than one hundred twenty days and no later than thirty days prior to the scheduled maturity date. We expect Complex Therapeutics LLC to meet all requirements necessary to exercise the extension.</w:t>
      </w:r>
    </w:p>
    <w:p>
      <w:pPr>
        <w:spacing w:after="0" w:line="164" w:lineRule="exact"/>
        <w:rPr>
          <w:sz w:val="20"/>
          <w:szCs w:val="20"/>
          <w:color w:val="auto"/>
        </w:rPr>
      </w:pPr>
    </w:p>
    <w:p>
      <w:pPr>
        <w:ind w:right="220" w:firstLine="450"/>
        <w:spacing w:after="0" w:line="260" w:lineRule="auto"/>
        <w:rPr>
          <w:sz w:val="20"/>
          <w:szCs w:val="20"/>
          <w:color w:val="auto"/>
        </w:rPr>
      </w:pPr>
      <w:r>
        <w:rPr>
          <w:rFonts w:ascii="Times New Roman" w:cs="Times New Roman" w:eastAsia="Times New Roman" w:hAnsi="Times New Roman"/>
          <w:sz w:val="20"/>
          <w:szCs w:val="20"/>
          <w:color w:val="auto"/>
        </w:rPr>
        <w:t>As of December 31, 2025, we had non-cancelable purchase commitments of approximately $0.2 million consisting mainly of operating commitments. Additionally, future minimum lease payments under noncancellable operating leases as of December 31, 2025 totaled $0.4 million, as discussed in Note 8 to the consolidated financial statements included elsewhere in this Annual Report.</w:t>
      </w:r>
    </w:p>
    <w:p>
      <w:pPr>
        <w:sectPr>
          <w:pgSz w:w="12240" w:h="15840" w:orient="portrait"/>
          <w:cols w:equalWidth="0" w:num="1">
            <w:col w:w="9360"/>
          </w:cols>
          <w:pgMar w:left="1440" w:top="1378" w:right="1440" w:bottom="1440" w:gutter="0" w:footer="0" w:header="0"/>
        </w:sectPr>
      </w:pPr>
    </w:p>
    <w:bookmarkStart w:id="79" w:name="page80"/>
    <w:bookmarkEnd w:id="79"/>
    <w:p>
      <w:pPr>
        <w:ind w:right="120" w:firstLine="450"/>
        <w:spacing w:after="0" w:line="286" w:lineRule="auto"/>
        <w:rPr>
          <w:sz w:val="20"/>
          <w:szCs w:val="20"/>
          <w:color w:val="auto"/>
        </w:rPr>
      </w:pPr>
      <w:r>
        <w:rPr>
          <w:rFonts w:ascii="Times New Roman" w:cs="Times New Roman" w:eastAsia="Times New Roman" w:hAnsi="Times New Roman"/>
          <w:sz w:val="19"/>
          <w:szCs w:val="19"/>
          <w:color w:val="auto"/>
        </w:rPr>
        <w:t>On January 5, 2026, Axion Bio and ImmuneOnco entered into an agreement terminating the IO Collaboration Agreement. Under the termination agreement Axion Bio agreed to transfer its rights, title and interest related to AXN-2510 and AXN-27M to ImmuneOnco, and ImmuneOnco agreed to pay Axion Bio $1.8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7"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This management’s discussion and analysis of our financial condition and results of operations is based on our consolidated financial statements, which have been prepared in accordance with GAAP. The preparation of the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9"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20"/>
          <w:szCs w:val="20"/>
          <w:color w:val="auto"/>
        </w:rPr>
        <w:t>While our significant accounting policies are more fully described in the notes to our consolidated financial statements included elsewhere in this Annual Report, we believe that the accounting policies discussed below are most critical to understanding and evaluating our historical and expected future performance.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17" w:lineRule="exact"/>
        <w:rPr>
          <w:sz w:val="20"/>
          <w:szCs w:val="20"/>
          <w:color w:val="auto"/>
        </w:rPr>
      </w:pPr>
    </w:p>
    <w:p>
      <w:pPr>
        <w:jc w:val="both"/>
        <w:ind w:right="300" w:firstLine="450"/>
        <w:spacing w:after="0" w:line="309" w:lineRule="auto"/>
        <w:rPr>
          <w:sz w:val="20"/>
          <w:szCs w:val="20"/>
          <w:color w:val="auto"/>
        </w:rPr>
      </w:pPr>
      <w:r>
        <w:rPr>
          <w:rFonts w:ascii="Times New Roman" w:cs="Times New Roman" w:eastAsia="Times New Roman" w:hAnsi="Times New Roman"/>
          <w:sz w:val="19"/>
          <w:szCs w:val="19"/>
          <w:color w:val="auto"/>
        </w:rPr>
        <w:t>We maintain a stock-based compensation plan as a long-term incentive for employees, directors and consultants. The plan allows for the issuance of stock options, stock appreciation rights and restricted stock units.</w:t>
      </w:r>
    </w:p>
    <w:p>
      <w:pPr>
        <w:spacing w:after="0" w:line="11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For stock-based awards with only service conditions, we recognize stock-based compensation expense for stock-based awards on a straight-line basis over the requisite service period and account for forfeitures as they occur. For stock-based awards with performance conditions, stock-based compensation expense is not recognized until the performance condition is probable to occur. Our stock-based compensation costs are based upon the grant date fair value estimated using the Black-Scholes option pricing model. This model utilizes inputs that are highly subjective assumptions and generally require significant judgment. These assumptions include:</w:t>
      </w:r>
    </w:p>
    <w:p>
      <w:pPr>
        <w:spacing w:after="0" w:line="168" w:lineRule="exact"/>
        <w:rPr>
          <w:sz w:val="20"/>
          <w:szCs w:val="20"/>
          <w:color w:val="auto"/>
        </w:rPr>
      </w:pPr>
    </w:p>
    <w:p>
      <w:pPr>
        <w:ind w:left="1260" w:right="80" w:hanging="720"/>
        <w:spacing w:after="0" w:line="253" w:lineRule="auto"/>
        <w:tabs>
          <w:tab w:leader="none" w:pos="12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Common Stock—Prior to our IPO in March 2021, the fair value of the shares of common stock underlying stock options had historically been determined by the Board of Directors. Because there has been no public market for the our common stock, the Board of Directors has determined fair value of the common stock at the time of grant of the option by considering a number of objective and subjective factors including important developments in our operations, contemporaneous valuations performed by an independent third party firm, sales of our convertible preferred stock, our operating results and financial performance, the conditions in the biotechnology industry and the economy in general, the stock price volatility of similar public companies and the lack of marketability of our common stock, among other factors. After our IPO in March 2021, the fair value of common stock is determined using the closing price of our common stock on the Nasdaq Stock Market.</w:t>
      </w:r>
    </w:p>
    <w:p>
      <w:pPr>
        <w:spacing w:after="0" w:line="93" w:lineRule="exact"/>
        <w:rPr>
          <w:rFonts w:ascii="Times New Roman" w:cs="Times New Roman" w:eastAsia="Times New Roman" w:hAnsi="Times New Roman"/>
          <w:sz w:val="20"/>
          <w:szCs w:val="20"/>
          <w:color w:val="auto"/>
        </w:rPr>
      </w:pPr>
    </w:p>
    <w:p>
      <w:pPr>
        <w:ind w:left="1260" w:right="20" w:hanging="720"/>
        <w:spacing w:after="0" w:line="266" w:lineRule="auto"/>
        <w:tabs>
          <w:tab w:leader="none" w:pos="12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Term—The expected term represents the period that stock-based awards are expected to be outstanding and is determined as the average of the time-to-vesting and the contractual life of the awards.</w:t>
      </w:r>
    </w:p>
    <w:p>
      <w:pPr>
        <w:spacing w:after="0" w:line="75" w:lineRule="exact"/>
        <w:rPr>
          <w:rFonts w:ascii="Times New Roman" w:cs="Times New Roman" w:eastAsia="Times New Roman" w:hAnsi="Times New Roman"/>
          <w:sz w:val="20"/>
          <w:szCs w:val="20"/>
          <w:color w:val="auto"/>
        </w:rPr>
      </w:pPr>
    </w:p>
    <w:p>
      <w:pPr>
        <w:ind w:left="1260" w:right="300" w:hanging="720"/>
        <w:spacing w:after="0" w:line="258" w:lineRule="auto"/>
        <w:tabs>
          <w:tab w:leader="none" w:pos="12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Volatility—Since we do not have sufficient trading history for our common stock, the 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83" w:lineRule="exact"/>
        <w:rPr>
          <w:rFonts w:ascii="Times New Roman" w:cs="Times New Roman" w:eastAsia="Times New Roman" w:hAnsi="Times New Roman"/>
          <w:sz w:val="20"/>
          <w:szCs w:val="20"/>
          <w:color w:val="auto"/>
        </w:rPr>
      </w:pPr>
    </w:p>
    <w:p>
      <w:pPr>
        <w:ind w:left="1260" w:right="60" w:hanging="720"/>
        <w:spacing w:after="0" w:line="281" w:lineRule="auto"/>
        <w:tabs>
          <w:tab w:leader="none" w:pos="12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Rate—The risk-free interest rate is based on the U.S. Treasury zero coupon issues in effect at the time of grant for periods corresponding with the expected term of awards.</w:t>
      </w:r>
    </w:p>
    <w:p>
      <w:pPr>
        <w:sectPr>
          <w:pgSz w:w="12240" w:h="15840" w:orient="portrait"/>
          <w:cols w:equalWidth="0" w:num="1">
            <w:col w:w="9360"/>
          </w:cols>
          <w:pgMar w:left="1440" w:top="1378" w:right="1440" w:bottom="879" w:gutter="0" w:footer="0" w:header="0"/>
        </w:sectPr>
      </w:pPr>
    </w:p>
    <w:bookmarkStart w:id="80" w:name="page81"/>
    <w:bookmarkEnd w:id="80"/>
    <w:p>
      <w:pPr>
        <w:ind w:left="1260" w:right="180" w:hanging="720"/>
        <w:spacing w:after="0" w:line="309" w:lineRule="auto"/>
        <w:tabs>
          <w:tab w:leader="none" w:pos="12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Expected Dividend Yield—We have never paid dividends on our common stock and have no plans to pay dividends on our common stock. Therefore, we used an expected dividend yield of zero.</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Assets Held for Sale</w:t>
      </w:r>
    </w:p>
    <w:p>
      <w:pPr>
        <w:spacing w:after="0" w:line="217"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We classify long-lived assets or disposal groups to be sold as held for sale in the period in which all of the following criteria are met: management, having the authority to approve the action, commits to a plan to sell the asset or disposal group; the asset or disposal group is available for immediate sale in its present condition subject only to terms that are usual and customary for sales of such assets or disposal group; the sale of the asset or disposal group is probable, and transfer of the asset or disposal group is expected to qualify for recognition as a completed sale within one year, except if events or circumstances beyond our control extend the period of time required to sell the asset or disposal group beyond one year; the asset or disposal group is being actively marketed for sale at a price that is reasonable in relation to its current fair value; and actions required to complete the plan to sell have been initiated.</w:t>
      </w:r>
    </w:p>
    <w:p>
      <w:pPr>
        <w:spacing w:after="0" w:line="16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We initially measure a long-lived asset or disposal group that is held for sale at the lower of its carrying value or fair value less any costs to sell. Fair value is estimated by us through evaluations of quoted market prices received for other comparable held for sale assets sold by us. Any loss resulting from this measurement is recognized in the period in which the held for sale criteria are met. Conversely, gains are not recognized on the sale of a long-lived asset or disposal group until the date of sale. We assess the fair value of a long-lived asset or disposal group less any costs to sell each reporting period it remains classified as held for sale and report any subsequent changes as an adjustment to the carrying value of the asset or disposal group, as long as the new carrying value does not exceed the carrying value of the asset at the time it was initially classified as held for sale. Upon determining that a long-lived asset or disposal group meets the criteria to be classified as held for sale, we cease depreciation and report long-lived assets in the line item “assets held for sale” in the consolidated balance sheets.</w:t>
      </w:r>
    </w:p>
    <w:p>
      <w:pPr>
        <w:spacing w:after="0" w:line="176"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we determined there were indicators of impairment on the Tarzana facility listed as held for sale. As a result, we performed recoverability tests on the asset group and concluded the asset's fair value less cost to sell was less than the carrying amount. We estimate the fair value of our building through a combination of income-based and market-based approach. The income-based approach is dependent on specific assumptions such as market rental rates, capitalization rates and discount rates. The market-based approach utilizes observable data, such as comparable building sales and occupancy rates. The costs to sell were determined by estimated legal, tax, and real estate broker fees. The fair value less cost to sell of our building was determined to be $112.1 million, compared to the carrying value of $128.7 million at the time of held for sale classification. This led to an impairment of approximately $16.6 million recognized in the consolidated statements of operations and comprehensive loss in the line item “restructuring and impairment charges.” The fair value of these assets are classified within Level 2 of the fair value hierarchy.</w:t>
      </w:r>
    </w:p>
    <w:p>
      <w:pPr>
        <w:spacing w:after="0" w:line="173" w:lineRule="exact"/>
        <w:rPr>
          <w:sz w:val="20"/>
          <w:szCs w:val="20"/>
          <w:color w:val="auto"/>
        </w:rPr>
      </w:pPr>
    </w:p>
    <w:p>
      <w:pPr>
        <w:ind w:right="180" w:firstLine="45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we recorded non-cash impairment charges for assets held for sale related to impairment of our Manchester, United Kingdom manufacturing equipment of $4.3 million recognized in the consolidated statements of operations and comprehensive loss in the line item “restructuring and impairment charges.”</w:t>
      </w:r>
    </w:p>
    <w:p>
      <w:pPr>
        <w:spacing w:after="0" w:line="163" w:lineRule="exact"/>
        <w:rPr>
          <w:sz w:val="20"/>
          <w:szCs w:val="20"/>
          <w:color w:val="auto"/>
        </w:rPr>
      </w:pPr>
    </w:p>
    <w:p>
      <w:pPr>
        <w:ind w:right="200" w:firstLine="450"/>
        <w:spacing w:after="0" w:line="281" w:lineRule="auto"/>
        <w:rPr>
          <w:sz w:val="20"/>
          <w:szCs w:val="20"/>
          <w:color w:val="auto"/>
        </w:rPr>
      </w:pPr>
      <w:r>
        <w:rPr>
          <w:rFonts w:ascii="Times New Roman" w:cs="Times New Roman" w:eastAsia="Times New Roman" w:hAnsi="Times New Roman"/>
          <w:sz w:val="20"/>
          <w:szCs w:val="20"/>
          <w:color w:val="auto"/>
        </w:rPr>
        <w:t>Refer to Notes 2 and 13 to the consolidated financial statements included elsewhere in this Annual Report on Form 10-K.</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17"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We review our long-lived assets for impairment whenever events or changes in circumstances indicate that the carrying amount of an asset may not be recoverable or that the useful life is shorter than originally estimated. Recoverability of assets is measured by comparing the carrying amount of an asset to future undiscounted net cash flows expected to be generated by the asset over its remaining useful life. If such assets are impaired, the impairment recognized is measured by the amount by which the carrying amount of the assets exceeds the fair value of the assets. If the useful life is shorter than originally estimated, we depreciate or amortize the remaining carrying value over the revised shorter useful life. Assets to be disposed of by sale are reflected at the lower of their carrying</w:t>
      </w:r>
    </w:p>
    <w:p>
      <w:pPr>
        <w:sectPr>
          <w:pgSz w:w="12240" w:h="15840" w:orient="portrait"/>
          <w:cols w:equalWidth="0" w:num="1">
            <w:col w:w="9360"/>
          </w:cols>
          <w:pgMar w:left="1440" w:top="1378" w:right="1440" w:bottom="987" w:gutter="0" w:footer="0" w:header="0"/>
        </w:sectPr>
      </w:pPr>
    </w:p>
    <w:bookmarkStart w:id="81" w:name="page82"/>
    <w:bookmarkEnd w:id="81"/>
    <w:p>
      <w:pPr>
        <w:ind w:right="140"/>
        <w:spacing w:after="0" w:line="258" w:lineRule="auto"/>
        <w:rPr>
          <w:sz w:val="20"/>
          <w:szCs w:val="20"/>
          <w:color w:val="auto"/>
        </w:rPr>
      </w:pPr>
      <w:r>
        <w:rPr>
          <w:rFonts w:ascii="Times New Roman" w:cs="Times New Roman" w:eastAsia="Times New Roman" w:hAnsi="Times New Roman"/>
          <w:sz w:val="20"/>
          <w:szCs w:val="20"/>
          <w:color w:val="auto"/>
        </w:rPr>
        <w:t>amount or fair value less cost to sell. To date, we have recorded impairment losses on long-lived assets associated with a sustained decrease in our stock price and our prior strategic prioritization of our preclinical and clinical development programs. We recognized a non-cash impairment charge related to leasehold improvements of nil and $0.3 million during 2025 and 2024, respectively. The impairment charges were recorded in the consolidated statements of operations and comprehensive loss in the line item “restructuring and impairment charges.”</w:t>
      </w:r>
    </w:p>
    <w:p>
      <w:pPr>
        <w:spacing w:after="0" w:line="164" w:lineRule="exact"/>
        <w:rPr>
          <w:sz w:val="20"/>
          <w:szCs w:val="20"/>
          <w:color w:val="auto"/>
        </w:rPr>
      </w:pPr>
    </w:p>
    <w:p>
      <w:pPr>
        <w:ind w:right="360" w:firstLine="450"/>
        <w:spacing w:after="0" w:line="266" w:lineRule="auto"/>
        <w:rPr>
          <w:sz w:val="20"/>
          <w:szCs w:val="20"/>
          <w:color w:val="auto"/>
        </w:rPr>
      </w:pPr>
      <w:r>
        <w:rPr>
          <w:rFonts w:ascii="Times New Roman" w:cs="Times New Roman" w:eastAsia="Times New Roman" w:hAnsi="Times New Roman"/>
          <w:sz w:val="20"/>
          <w:szCs w:val="20"/>
          <w:color w:val="auto"/>
        </w:rPr>
        <w:t>As discussed above, during the year ended December 31, 2025 we recorded impairment of approximately $16.6 million on the Tarzana facility recognized in the consolidated statements of operations and comprehensive loss in the line item “restructuring and impairment charges.”</w:t>
      </w:r>
    </w:p>
    <w:p>
      <w:pPr>
        <w:spacing w:after="0" w:line="155" w:lineRule="exact"/>
        <w:rPr>
          <w:sz w:val="20"/>
          <w:szCs w:val="20"/>
          <w:color w:val="auto"/>
        </w:rPr>
      </w:pPr>
    </w:p>
    <w:p>
      <w:pPr>
        <w:ind w:right="180" w:firstLine="45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we recorded non-cash impairment charges for assets held for sale related to impairment of our Manchester, United Kingdom manufacturing equipment of $4.3 million recognized in the consolidated statements of operations and comprehensive loss in the line item “restructuring and impairment charges.”</w:t>
      </w:r>
    </w:p>
    <w:p>
      <w:pPr>
        <w:spacing w:after="0" w:line="163" w:lineRule="exact"/>
        <w:rPr>
          <w:sz w:val="20"/>
          <w:szCs w:val="20"/>
          <w:color w:val="auto"/>
        </w:rPr>
      </w:pPr>
    </w:p>
    <w:p>
      <w:pPr>
        <w:ind w:right="60" w:firstLine="450"/>
        <w:spacing w:after="0" w:line="281" w:lineRule="auto"/>
        <w:rPr>
          <w:sz w:val="20"/>
          <w:szCs w:val="20"/>
          <w:color w:val="auto"/>
        </w:rPr>
      </w:pPr>
      <w:r>
        <w:rPr>
          <w:rFonts w:ascii="Times New Roman" w:cs="Times New Roman" w:eastAsia="Times New Roman" w:hAnsi="Times New Roman"/>
          <w:sz w:val="20"/>
          <w:szCs w:val="20"/>
          <w:color w:val="auto"/>
        </w:rPr>
        <w:t>See Notes 2 and 13 to the consolidated financial statements included elsewhere in this Annual Report on Form 10-K for more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17" w:lineRule="exact"/>
        <w:rPr>
          <w:sz w:val="20"/>
          <w:szCs w:val="20"/>
          <w:color w:val="auto"/>
        </w:rPr>
      </w:pPr>
    </w:p>
    <w:p>
      <w:pPr>
        <w:ind w:right="780" w:firstLine="450"/>
        <w:spacing w:after="0" w:line="281" w:lineRule="auto"/>
        <w:rPr>
          <w:sz w:val="20"/>
          <w:szCs w:val="20"/>
          <w:color w:val="auto"/>
        </w:rPr>
      </w:pPr>
      <w:r>
        <w:rPr>
          <w:rFonts w:ascii="Times New Roman" w:cs="Times New Roman" w:eastAsia="Times New Roman" w:hAnsi="Times New Roman"/>
          <w:sz w:val="20"/>
          <w:szCs w:val="20"/>
          <w:color w:val="auto"/>
        </w:rPr>
        <w:t>Information regarding recent accounting pronouncements applicable to us is included in Note 2 to the consolidated financial statements included elsewhere in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 and Smaller Reporting Company Status</w:t>
      </w:r>
    </w:p>
    <w:p>
      <w:pPr>
        <w:spacing w:after="0" w:line="21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Accordingly, the information contained herein may be different than the information you receive from other public companies in which you hold stock.</w:t>
      </w:r>
    </w:p>
    <w:p>
      <w:pPr>
        <w:spacing w:after="0" w:line="173" w:lineRule="exact"/>
        <w:rPr>
          <w:sz w:val="20"/>
          <w:szCs w:val="20"/>
          <w:color w:val="auto"/>
        </w:rPr>
      </w:pPr>
    </w:p>
    <w:p>
      <w:pPr>
        <w:ind w:right="400" w:firstLine="450"/>
        <w:spacing w:after="0" w:line="269" w:lineRule="auto"/>
        <w:rPr>
          <w:sz w:val="20"/>
          <w:szCs w:val="20"/>
          <w:color w:val="auto"/>
        </w:rPr>
      </w:pPr>
      <w:r>
        <w:rPr>
          <w:rFonts w:ascii="Times New Roman" w:cs="Times New Roman" w:eastAsia="Times New Roman" w:hAnsi="Times New Roman"/>
          <w:sz w:val="19"/>
          <w:szCs w:val="19"/>
          <w:color w:val="auto"/>
        </w:rPr>
        <w:t>In addition, emerging growth companies can delay adopting new or revised accounting standards issued subsequent to the enactment of the JOBS Act until such time as those standards apply to private companies. We have elected to avail ourselves of this extended transition period for complying with new or revised accounting standards that have different effective dates for public and private companies until the earlier of the date that we</w:t>
      </w:r>
    </w:p>
    <w:p>
      <w:pPr>
        <w:spacing w:after="0" w:line="1" w:lineRule="exact"/>
        <w:rPr>
          <w:sz w:val="20"/>
          <w:szCs w:val="20"/>
          <w:color w:val="auto"/>
        </w:rPr>
      </w:pPr>
    </w:p>
    <w:p>
      <w:pPr>
        <w:ind w:right="20"/>
        <w:spacing w:after="0" w:line="255" w:lineRule="auto"/>
        <w:tabs>
          <w:tab w:leader="none" w:pos="23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6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8"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We are also a “smaller reporting company,” as defined in Rule 12b-2 under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w:t>
      </w:r>
    </w:p>
    <w:p>
      <w:pPr>
        <w:sectPr>
          <w:pgSz w:w="12240" w:h="15840" w:orient="portrait"/>
          <w:cols w:equalWidth="0" w:num="1">
            <w:col w:w="9360"/>
          </w:cols>
          <w:pgMar w:left="1440" w:top="1378" w:right="1440" w:bottom="1065" w:gutter="0" w:footer="0" w:header="0"/>
        </w:sectPr>
      </w:pPr>
    </w:p>
    <w:bookmarkStart w:id="82" w:name="page83"/>
    <w:bookmarkEnd w:id="82"/>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17" w:lineRule="exact"/>
        <w:rPr>
          <w:sz w:val="20"/>
          <w:szCs w:val="20"/>
          <w:color w:val="auto"/>
        </w:rPr>
      </w:pPr>
    </w:p>
    <w:p>
      <w:pPr>
        <w:ind w:right="180" w:firstLine="450"/>
        <w:spacing w:after="0" w:line="281" w:lineRule="auto"/>
        <w:rPr>
          <w:sz w:val="20"/>
          <w:szCs w:val="20"/>
          <w:color w:val="auto"/>
        </w:rPr>
      </w:pPr>
      <w:r>
        <w:rPr>
          <w:rFonts w:ascii="Times New Roman" w:cs="Times New Roman" w:eastAsia="Times New Roman" w:hAnsi="Times New Roman"/>
          <w:sz w:val="20"/>
          <w:szCs w:val="20"/>
          <w:color w:val="auto"/>
        </w:rPr>
        <w:t>We are a smaller reporting company as defined by Item 10 of Regulation S-K and are not required to provide the information otherwise required under this item.</w:t>
      </w:r>
    </w:p>
    <w:p>
      <w:pPr>
        <w:sectPr>
          <w:pgSz w:w="12240" w:h="15840" w:orient="portrait"/>
          <w:cols w:equalWidth="0" w:num="1">
            <w:col w:w="9360"/>
          </w:cols>
          <w:pgMar w:left="1440" w:top="137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20" w:type="dxa"/>
            <w:vAlign w:val="bottom"/>
          </w:tcPr>
          <w:p>
            <w:pPr>
              <w:spacing w:after="0"/>
              <w:rPr>
                <w:sz w:val="19"/>
                <w:szCs w:val="19"/>
                <w:color w:val="auto"/>
              </w:rPr>
            </w:pPr>
          </w:p>
        </w:tc>
      </w:tr>
      <w:tr>
        <w:trPr>
          <w:trHeight w:val="265"/>
        </w:trPr>
        <w:tc>
          <w:tcPr>
            <w:tcW w:w="85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#34)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83</w:t>
            </w:r>
          </w:p>
        </w:tc>
      </w:tr>
      <w:tr>
        <w:trPr>
          <w:trHeight w:val="20"/>
        </w:trPr>
        <w:tc>
          <w:tcPr>
            <w:tcW w:w="11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5"/>
        </w:trPr>
        <w:tc>
          <w:tcPr>
            <w:tcW w:w="5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Consolidated Balance Sheets as of December 31, 2025 and 2024</w:t>
            </w:r>
          </w:p>
        </w:tc>
        <w:tc>
          <w:tcPr>
            <w:tcW w:w="3400" w:type="dxa"/>
            <w:vAlign w:val="bottom"/>
            <w:gridSpan w:val="5"/>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84</w:t>
            </w:r>
          </w:p>
        </w:tc>
      </w:tr>
      <w:tr>
        <w:trPr>
          <w:trHeight w:val="265"/>
        </w:trPr>
        <w:tc>
          <w:tcPr>
            <w:tcW w:w="8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Operations and Comprehensive Loss for the Years ended December 31,</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8560" w:type="dxa"/>
            <w:vAlign w:val="bottom"/>
            <w:gridSpan w:val="9"/>
          </w:tcPr>
          <w:p>
            <w:pPr>
              <w:spacing w:after="0" w:line="220" w:lineRule="exact"/>
              <w:rPr>
                <w:sz w:val="20"/>
                <w:szCs w:val="20"/>
                <w:color w:val="auto"/>
              </w:rPr>
            </w:pPr>
            <w:r>
              <w:rPr>
                <w:rFonts w:ascii="Times New Roman" w:cs="Times New Roman" w:eastAsia="Times New Roman" w:hAnsi="Times New Roman"/>
                <w:sz w:val="20"/>
                <w:szCs w:val="20"/>
                <w:color w:val="0000FF"/>
              </w:rPr>
              <w:t>2025 and 2024</w:t>
            </w:r>
          </w:p>
        </w:tc>
        <w:tc>
          <w:tcPr>
            <w:tcW w:w="4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0000FF"/>
              </w:rPr>
              <w:t>85</w:t>
            </w:r>
          </w:p>
        </w:tc>
      </w:tr>
      <w:tr>
        <w:trPr>
          <w:trHeight w:val="20"/>
        </w:trPr>
        <w:tc>
          <w:tcPr>
            <w:tcW w:w="118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5"/>
        </w:trPr>
        <w:tc>
          <w:tcPr>
            <w:tcW w:w="85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 for the Years ended December 31, 2025 and 2024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86</w:t>
            </w:r>
          </w:p>
        </w:tc>
      </w:tr>
      <w:tr>
        <w:trPr>
          <w:trHeight w:val="265"/>
        </w:trPr>
        <w:tc>
          <w:tcPr>
            <w:tcW w:w="7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 for the Years ended December 31, 2025 and 2024</w:t>
            </w:r>
          </w:p>
        </w:tc>
        <w:tc>
          <w:tcPr>
            <w:tcW w:w="820" w:type="dxa"/>
            <w:vAlign w:val="bottom"/>
            <w:tcBorders>
              <w:top w:val="single" w:sz="8" w:color="0000FF"/>
            </w:tcBorders>
          </w:tcPr>
          <w:p>
            <w:pPr>
              <w:spacing w:after="0"/>
              <w:rPr>
                <w:sz w:val="23"/>
                <w:szCs w:val="23"/>
                <w:color w:val="auto"/>
              </w:rPr>
            </w:pPr>
          </w:p>
        </w:tc>
        <w:tc>
          <w:tcPr>
            <w:tcW w:w="6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87</w:t>
            </w:r>
          </w:p>
        </w:tc>
      </w:tr>
      <w:tr>
        <w:trPr>
          <w:trHeight w:val="265"/>
        </w:trPr>
        <w:tc>
          <w:tcPr>
            <w:tcW w:w="3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Notes to the Consolidated Financial Statements</w:t>
            </w:r>
          </w:p>
        </w:tc>
        <w:tc>
          <w:tcPr>
            <w:tcW w:w="4720" w:type="dxa"/>
            <w:vAlign w:val="bottom"/>
            <w:gridSpan w:val="7"/>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r>
    </w:tbl>
    <w:p>
      <w:pPr>
        <w:sectPr>
          <w:pgSz w:w="12240" w:h="15840" w:orient="portrait"/>
          <w:cols w:equalWidth="0" w:num="1">
            <w:col w:w="9360"/>
          </w:cols>
          <w:pgMar w:left="1440" w:top="1371" w:right="1440" w:bottom="1440" w:gutter="0" w:footer="0" w:header="0"/>
        </w:sectPr>
      </w:pPr>
    </w:p>
    <w:bookmarkStart w:id="84" w:name="page85"/>
    <w:bookmarkEnd w:id="84"/>
    <w:p>
      <w:pPr>
        <w:spacing w:after="0" w:line="200" w:lineRule="exact"/>
        <w:rPr>
          <w:sz w:val="20"/>
          <w:szCs w:val="20"/>
          <w:color w:val="auto"/>
        </w:rPr>
      </w:pPr>
    </w:p>
    <w:p>
      <w:pPr>
        <w:spacing w:after="0" w:line="211" w:lineRule="exact"/>
        <w:rPr>
          <w:sz w:val="20"/>
          <w:szCs w:val="20"/>
          <w:color w:val="auto"/>
        </w:rPr>
      </w:pPr>
    </w:p>
    <w:p>
      <w:pPr>
        <w:ind w:right="2500"/>
        <w:spacing w:after="0" w:line="452"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Instil Bio,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Instil Bio,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27,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ectPr>
          <w:pgSz w:w="12240" w:h="15840" w:orient="portrait"/>
          <w:cols w:equalWidth="0" w:num="1">
            <w:col w:w="9360"/>
          </w:cols>
          <w:pgMar w:left="1440" w:top="1440" w:right="1440" w:bottom="1440" w:gutter="0" w:footer="0" w:header="0"/>
        </w:sectPr>
      </w:pPr>
    </w:p>
    <w:bookmarkStart w:id="85" w:name="page86"/>
    <w:bookmarkEnd w:id="85"/>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5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6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8"/>
                <w:szCs w:val="18"/>
                <w:color w:val="B4B4B4"/>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18"/>
                <w:szCs w:val="18"/>
                <w:color w:val="B4B4B4"/>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Marketable securities</w:t>
            </w:r>
            <w:r>
              <w:rPr>
                <w:rFonts w:ascii="Times New Roman" w:cs="Times New Roman" w:eastAsia="Times New Roman" w:hAnsi="Times New Roman"/>
                <w:sz w:val="18"/>
                <w:szCs w:val="18"/>
                <w:color w:val="B4B4B4"/>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104,510</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18"/>
                <w:szCs w:val="18"/>
                <w:color w:val="B4B4B4"/>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0" w:type="dxa"/>
            <w:vAlign w:val="bottom"/>
          </w:tcPr>
          <w:p>
            <w:pPr>
              <w:spacing w:after="0"/>
              <w:rPr>
                <w:sz w:val="1"/>
                <w:szCs w:val="1"/>
                <w:color w:val="auto"/>
              </w:rPr>
            </w:pPr>
          </w:p>
        </w:tc>
      </w:tr>
      <w:tr>
        <w:trPr>
          <w:trHeight w:val="260"/>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Assets held for sale</w:t>
            </w:r>
            <w:r>
              <w:rPr>
                <w:rFonts w:ascii="Times New Roman" w:cs="Times New Roman" w:eastAsia="Times New Roman" w:hAnsi="Times New Roman"/>
                <w:sz w:val="18"/>
                <w:szCs w:val="18"/>
                <w:color w:val="B4B4B4"/>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112,096</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Totalcurrentassets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191,429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124,470</w:t>
            </w:r>
          </w:p>
        </w:tc>
        <w:tc>
          <w:tcPr>
            <w:tcW w:w="0" w:type="dxa"/>
            <w:vAlign w:val="bottom"/>
          </w:tcPr>
          <w:p>
            <w:pPr>
              <w:spacing w:after="0"/>
              <w:rPr>
                <w:sz w:val="1"/>
                <w:szCs w:val="1"/>
                <w:color w:val="auto"/>
              </w:rPr>
            </w:pPr>
          </w:p>
        </w:tc>
      </w:tr>
      <w:tr>
        <w:trPr>
          <w:trHeight w:val="251"/>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Property, plant and equipment, net</w:t>
            </w:r>
            <w:r>
              <w:rPr>
                <w:rFonts w:ascii="Times New Roman" w:cs="Times New Roman" w:eastAsia="Times New Roman" w:hAnsi="Times New Roman"/>
                <w:sz w:val="18"/>
                <w:szCs w:val="18"/>
                <w:color w:val="B4B4B4"/>
                <w:w w:val="99"/>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129,406</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Operating lease right-of-use assets </w:t>
            </w:r>
            <w:r>
              <w:rPr>
                <w:rFonts w:ascii="Times New Roman" w:cs="Times New Roman" w:eastAsia="Times New Roman" w:hAnsi="Times New Roman"/>
                <w:sz w:val="18"/>
                <w:szCs w:val="18"/>
                <w:color w:val="B4B4B4"/>
                <w:w w:val="99"/>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Accrued rent receivable </w:t>
            </w:r>
            <w:r>
              <w:rPr>
                <w:rFonts w:ascii="Times New Roman" w:cs="Times New Roman" w:eastAsia="Times New Roman" w:hAnsi="Times New Roman"/>
                <w:sz w:val="18"/>
                <w:szCs w:val="18"/>
                <w:color w:val="B4B4B4"/>
                <w:w w:val="99"/>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60"/>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Other long-term assets </w:t>
            </w:r>
            <w:r>
              <w:rPr>
                <w:rFonts w:ascii="Times New Roman" w:cs="Times New Roman" w:eastAsia="Times New Roman" w:hAnsi="Times New Roman"/>
                <w:sz w:val="18"/>
                <w:szCs w:val="18"/>
                <w:color w:val="B4B4B4"/>
                <w:w w:val="99"/>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1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Totalassets</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203,523</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263,567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Accounts payable </w:t>
            </w:r>
            <w:r>
              <w:rPr>
                <w:rFonts w:ascii="Times New Roman" w:cs="Times New Roman" w:eastAsia="Times New Roman" w:hAnsi="Times New Roman"/>
                <w:sz w:val="18"/>
                <w:szCs w:val="18"/>
                <w:color w:val="B4B4B4"/>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60"/>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18"/>
                <w:szCs w:val="18"/>
                <w:color w:val="B4B4B4"/>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234"/>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Totalcurrentliabilities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0" w:type="dxa"/>
            <w:vAlign w:val="bottom"/>
          </w:tcPr>
          <w:p>
            <w:pPr>
              <w:spacing w:after="0"/>
              <w:rPr>
                <w:sz w:val="1"/>
                <w:szCs w:val="1"/>
                <w:color w:val="auto"/>
              </w:rPr>
            </w:pPr>
          </w:p>
        </w:tc>
      </w:tr>
      <w:tr>
        <w:trPr>
          <w:trHeight w:val="251"/>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Contingent consideration</w:t>
            </w:r>
            <w:r>
              <w:rPr>
                <w:rFonts w:ascii="Times New Roman" w:cs="Times New Roman" w:eastAsia="Times New Roman" w:hAnsi="Times New Roman"/>
                <w:sz w:val="18"/>
                <w:szCs w:val="18"/>
                <w:color w:val="B4B4B4"/>
                <w:w w:val="99"/>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Operating lease liabilities, non-current </w:t>
            </w:r>
            <w:r>
              <w:rPr>
                <w:rFonts w:ascii="Times New Roman" w:cs="Times New Roman" w:eastAsia="Times New Roman" w:hAnsi="Times New Roman"/>
                <w:sz w:val="18"/>
                <w:szCs w:val="18"/>
                <w:color w:val="B4B4B4"/>
                <w:w w:val="99"/>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Loan payable </w:t>
            </w:r>
            <w:r>
              <w:rPr>
                <w:rFonts w:ascii="Times New Roman" w:cs="Times New Roman" w:eastAsia="Times New Roman" w:hAnsi="Times New Roman"/>
                <w:sz w:val="18"/>
                <w:szCs w:val="18"/>
                <w:color w:val="B4B4B4"/>
                <w:w w:val="99"/>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84,187</w:t>
            </w:r>
          </w:p>
        </w:tc>
        <w:tc>
          <w:tcPr>
            <w:tcW w:w="0" w:type="dxa"/>
            <w:vAlign w:val="bottom"/>
          </w:tcPr>
          <w:p>
            <w:pPr>
              <w:spacing w:after="0"/>
              <w:rPr>
                <w:sz w:val="1"/>
                <w:szCs w:val="1"/>
                <w:color w:val="auto"/>
              </w:rPr>
            </w:pPr>
          </w:p>
        </w:tc>
      </w:tr>
      <w:tr>
        <w:trPr>
          <w:trHeight w:val="260"/>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Other long-term liabilities </w:t>
            </w:r>
            <w:r>
              <w:rPr>
                <w:rFonts w:ascii="Times New Roman" w:cs="Times New Roman" w:eastAsia="Times New Roman" w:hAnsi="Times New Roman"/>
                <w:sz w:val="18"/>
                <w:szCs w:val="18"/>
                <w:color w:val="B4B4B4"/>
                <w:w w:val="99"/>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Totalliabilities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94,131</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$0.000001 per share; 10,000,000 shares authorized; zero shares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issued and outstanding as of December 31, 2025, and 2024 </w:t>
            </w:r>
            <w:r>
              <w:rPr>
                <w:rFonts w:ascii="Times New Roman" w:cs="Times New Roman" w:eastAsia="Times New Roman" w:hAnsi="Times New Roman"/>
                <w:sz w:val="20"/>
                <w:szCs w:val="20"/>
                <w:color w:val="B4B4B4"/>
                <w:w w:val="99"/>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$0.000001 per share; 300,000,000 shares authorized; 6,781,976</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and 6,525,887 shares issued and outstanding as of December 31, 2025, and 2024 </w:t>
            </w:r>
            <w:r>
              <w:rPr>
                <w:rFonts w:ascii="Times New Roman" w:cs="Times New Roman" w:eastAsia="Times New Roman" w:hAnsi="Times New Roman"/>
                <w:sz w:val="20"/>
                <w:szCs w:val="20"/>
                <w:color w:val="B4B4B4"/>
                <w:w w:val="99"/>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Additional paid-in capital </w:t>
            </w:r>
            <w:r>
              <w:rPr>
                <w:rFonts w:ascii="Times New Roman" w:cs="Times New Roman" w:eastAsia="Times New Roman" w:hAnsi="Times New Roman"/>
                <w:sz w:val="18"/>
                <w:szCs w:val="18"/>
                <w:color w:val="B4B4B4"/>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824,780</w:t>
            </w:r>
          </w:p>
        </w:tc>
        <w:tc>
          <w:tcPr>
            <w:tcW w:w="0" w:type="dxa"/>
            <w:vAlign w:val="bottom"/>
          </w:tcPr>
          <w:p>
            <w:pPr>
              <w:spacing w:after="0"/>
              <w:rPr>
                <w:sz w:val="1"/>
                <w:szCs w:val="1"/>
                <w:color w:val="auto"/>
              </w:rPr>
            </w:pPr>
          </w:p>
        </w:tc>
      </w:tr>
      <w:tr>
        <w:trPr>
          <w:trHeight w:val="25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Accumulated other comprehensive loss </w:t>
            </w:r>
            <w:r>
              <w:rPr>
                <w:rFonts w:ascii="Times New Roman" w:cs="Times New Roman" w:eastAsia="Times New Roman" w:hAnsi="Times New Roman"/>
                <w:sz w:val="18"/>
                <w:szCs w:val="18"/>
                <w:color w:val="B4B4B4"/>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60"/>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Accumulated deficit </w:t>
            </w:r>
            <w:r>
              <w:rPr>
                <w:rFonts w:ascii="Times New Roman" w:cs="Times New Roman" w:eastAsia="Times New Roman" w:hAnsi="Times New Roman"/>
                <w:sz w:val="18"/>
                <w:szCs w:val="18"/>
                <w:color w:val="B4B4B4"/>
              </w:rPr>
              <w: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(726,488)</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(655,116)</w:t>
            </w:r>
          </w:p>
        </w:tc>
        <w:tc>
          <w:tcPr>
            <w:tcW w:w="0" w:type="dxa"/>
            <w:vAlign w:val="bottom"/>
          </w:tcPr>
          <w:p>
            <w:pPr>
              <w:spacing w:after="0"/>
              <w:rPr>
                <w:sz w:val="1"/>
                <w:szCs w:val="1"/>
                <w:color w:val="auto"/>
              </w:rPr>
            </w:pPr>
          </w:p>
        </w:tc>
      </w:tr>
      <w:tr>
        <w:trPr>
          <w:trHeight w:val="23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Totalstockholders’equity</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113,866</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169,436</w:t>
            </w:r>
          </w:p>
        </w:tc>
        <w:tc>
          <w:tcPr>
            <w:tcW w:w="0" w:type="dxa"/>
            <w:vAlign w:val="bottom"/>
          </w:tcPr>
          <w:p>
            <w:pPr>
              <w:spacing w:after="0"/>
              <w:rPr>
                <w:sz w:val="1"/>
                <w:szCs w:val="1"/>
                <w:color w:val="auto"/>
              </w:rPr>
            </w:pPr>
          </w:p>
        </w:tc>
      </w:tr>
      <w:tr>
        <w:trPr>
          <w:trHeight w:val="215"/>
        </w:trPr>
        <w:tc>
          <w:tcPr>
            <w:tcW w:w="6600" w:type="dxa"/>
            <w:vAlign w:val="bottom"/>
          </w:tcPr>
          <w:p>
            <w:pPr>
              <w:jc w:val="right"/>
              <w:spacing w:after="0"/>
              <w:rPr>
                <w:sz w:val="20"/>
                <w:szCs w:val="20"/>
                <w:color w:val="auto"/>
              </w:rPr>
            </w:pPr>
            <w:r>
              <w:rPr>
                <w:rFonts w:ascii="Times New Roman" w:cs="Times New Roman" w:eastAsia="Times New Roman" w:hAnsi="Times New Roman"/>
                <w:sz w:val="18"/>
                <w:szCs w:val="18"/>
                <w:color w:val="B4B4B4"/>
              </w:rPr>
              <w:t>................................................................................</w:t>
            </w:r>
            <w:r>
              <w:rPr>
                <w:rFonts w:ascii="Times New Roman" w:cs="Times New Roman" w:eastAsia="Times New Roman" w:hAnsi="Times New Roman"/>
                <w:sz w:val="18"/>
                <w:szCs w:val="18"/>
                <w:color w:val="000000"/>
              </w:rPr>
              <w:t>Totalliabilitiesandstockholders’equity</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203,523</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-5517515</wp:posOffset>
            </wp:positionV>
            <wp:extent cx="5819775" cy="5537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extLst>
                    </a:blip>
                    <a:srcRect/>
                    <a:stretch>
                      <a:fillRect/>
                    </a:stretch>
                  </pic:blipFill>
                  <pic:spPr bwMode="auto">
                    <a:xfrm>
                      <a:off x="0" y="0"/>
                      <a:ext cx="5819775" cy="553720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360"/>
          </w:cols>
          <w:pgMar w:left="1440" w:top="1440" w:right="1440" w:bottom="1440" w:gutter="0" w:footer="0" w:header="0"/>
        </w:sectPr>
      </w:pPr>
    </w:p>
    <w:bookmarkStart w:id="86" w:name="page87"/>
    <w:bookmarkEnd w:id="86"/>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5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3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34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34"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4229100</wp:posOffset>
                </wp:positionH>
                <wp:positionV relativeFrom="paragraph">
                  <wp:posOffset>14605</wp:posOffset>
                </wp:positionV>
                <wp:extent cx="15430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pt,1.15pt" to="454.5pt,1.15pt" o:allowincell="f" strokecolor="#000000" strokeweight="1pt"/>
            </w:pict>
          </mc:Fallback>
        </mc:AlternateConten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6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41"/>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In-process research and development </w:t>
            </w:r>
            <w:r>
              <w:rPr>
                <w:rFonts w:ascii="Times New Roman" w:cs="Times New Roman" w:eastAsia="Times New Roman" w:hAnsi="Times New Roman"/>
                <w:sz w:val="20"/>
                <w:szCs w:val="20"/>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8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24,738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11,838</w:t>
            </w:r>
          </w:p>
        </w:tc>
        <w:tc>
          <w:tcPr>
            <w:tcW w:w="0" w:type="dxa"/>
            <w:vAlign w:val="bottom"/>
          </w:tcPr>
          <w:p>
            <w:pPr>
              <w:spacing w:after="0"/>
              <w:rPr>
                <w:sz w:val="1"/>
                <w:szCs w:val="1"/>
                <w:color w:val="auto"/>
              </w:rPr>
            </w:pPr>
          </w:p>
        </w:tc>
      </w:tr>
      <w:tr>
        <w:trPr>
          <w:trHeight w:val="28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44,210</w:t>
            </w:r>
          </w:p>
        </w:tc>
        <w:tc>
          <w:tcPr>
            <w:tcW w:w="0" w:type="dxa"/>
            <w:vAlign w:val="bottom"/>
          </w:tcPr>
          <w:p>
            <w:pPr>
              <w:spacing w:after="0"/>
              <w:rPr>
                <w:sz w:val="1"/>
                <w:szCs w:val="1"/>
                <w:color w:val="auto"/>
              </w:rPr>
            </w:pPr>
          </w:p>
        </w:tc>
      </w:tr>
      <w:tr>
        <w:trPr>
          <w:trHeight w:val="288"/>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Restructuring and impairment charges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16,622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7,493</w:t>
            </w:r>
          </w:p>
        </w:tc>
        <w:tc>
          <w:tcPr>
            <w:tcW w:w="0" w:type="dxa"/>
            <w:vAlign w:val="bottom"/>
          </w:tcPr>
          <w:p>
            <w:pPr>
              <w:spacing w:after="0"/>
              <w:rPr>
                <w:sz w:val="1"/>
                <w:szCs w:val="1"/>
                <w:color w:val="auto"/>
              </w:rPr>
            </w:pPr>
          </w:p>
        </w:tc>
      </w:tr>
      <w:tr>
        <w:trPr>
          <w:trHeight w:val="26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Totaloperatingexpenses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78,581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73,541</w:t>
            </w:r>
          </w:p>
        </w:tc>
        <w:tc>
          <w:tcPr>
            <w:tcW w:w="0" w:type="dxa"/>
            <w:vAlign w:val="bottom"/>
          </w:tcPr>
          <w:p>
            <w:pPr>
              <w:spacing w:after="0"/>
              <w:rPr>
                <w:sz w:val="1"/>
                <w:szCs w:val="1"/>
                <w:color w:val="auto"/>
              </w:rPr>
            </w:pPr>
          </w:p>
        </w:tc>
      </w:tr>
      <w:tr>
        <w:trPr>
          <w:trHeight w:val="262"/>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Lossfromoperations</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(78,581)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(73,541)</w:t>
            </w:r>
          </w:p>
        </w:tc>
        <w:tc>
          <w:tcPr>
            <w:tcW w:w="0" w:type="dxa"/>
            <w:vAlign w:val="bottom"/>
          </w:tcPr>
          <w:p>
            <w:pPr>
              <w:spacing w:after="0"/>
              <w:rPr>
                <w:sz w:val="1"/>
                <w:szCs w:val="1"/>
                <w:color w:val="auto"/>
              </w:rPr>
            </w:pPr>
          </w:p>
        </w:tc>
      </w:tr>
      <w:tr>
        <w:trPr>
          <w:trHeight w:val="28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Interest income </w:t>
            </w:r>
            <w:r>
              <w:rPr>
                <w:rFonts w:ascii="Times New Roman" w:cs="Times New Roman" w:eastAsia="Times New Roman" w:hAnsi="Times New Roman"/>
                <w:sz w:val="20"/>
                <w:szCs w:val="20"/>
                <w:color w:val="B4B4B4"/>
                <w:w w:val="98"/>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6,987</w:t>
            </w:r>
          </w:p>
        </w:tc>
        <w:tc>
          <w:tcPr>
            <w:tcW w:w="0" w:type="dxa"/>
            <w:vAlign w:val="bottom"/>
          </w:tcPr>
          <w:p>
            <w:pPr>
              <w:spacing w:after="0"/>
              <w:rPr>
                <w:sz w:val="1"/>
                <w:szCs w:val="1"/>
                <w:color w:val="auto"/>
              </w:rPr>
            </w:pPr>
          </w:p>
        </w:tc>
      </w:tr>
      <w:tr>
        <w:trPr>
          <w:trHeight w:val="28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Interest expense </w:t>
            </w:r>
            <w:r>
              <w:rPr>
                <w:rFonts w:ascii="Times New Roman" w:cs="Times New Roman" w:eastAsia="Times New Roman" w:hAnsi="Times New Roman"/>
                <w:sz w:val="20"/>
                <w:szCs w:val="20"/>
                <w:color w:val="B4B4B4"/>
                <w:w w:val="98"/>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(8,992)</w:t>
            </w:r>
          </w:p>
        </w:tc>
        <w:tc>
          <w:tcPr>
            <w:tcW w:w="0" w:type="dxa"/>
            <w:vAlign w:val="bottom"/>
          </w:tcPr>
          <w:p>
            <w:pPr>
              <w:spacing w:after="0"/>
              <w:rPr>
                <w:sz w:val="1"/>
                <w:szCs w:val="1"/>
                <w:color w:val="auto"/>
              </w:rPr>
            </w:pPr>
          </w:p>
        </w:tc>
      </w:tr>
      <w:tr>
        <w:trPr>
          <w:trHeight w:val="28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rental income </w:t>
            </w:r>
            <w:r>
              <w:rPr>
                <w:rFonts w:ascii="Times New Roman" w:cs="Times New Roman" w:eastAsia="Times New Roman" w:hAnsi="Times New Roman"/>
                <w:sz w:val="20"/>
                <w:szCs w:val="20"/>
                <w:color w:val="B4B4B4"/>
                <w:w w:val="98"/>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4,267</w:t>
            </w:r>
          </w:p>
        </w:tc>
        <w:tc>
          <w:tcPr>
            <w:tcW w:w="0" w:type="dxa"/>
            <w:vAlign w:val="bottom"/>
          </w:tcPr>
          <w:p>
            <w:pPr>
              <w:spacing w:after="0"/>
              <w:rPr>
                <w:sz w:val="1"/>
                <w:szCs w:val="1"/>
                <w:color w:val="auto"/>
              </w:rPr>
            </w:pPr>
          </w:p>
        </w:tc>
      </w:tr>
      <w:tr>
        <w:trPr>
          <w:trHeight w:val="288"/>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Other income (expense), net </w:t>
            </w:r>
            <w:r>
              <w:rPr>
                <w:rFonts w:ascii="Times New Roman" w:cs="Times New Roman" w:eastAsia="Times New Roman" w:hAnsi="Times New Roman"/>
                <w:sz w:val="20"/>
                <w:szCs w:val="20"/>
                <w:color w:val="B4B4B4"/>
                <w:w w:val="99"/>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0" w:type="dxa"/>
            <w:vAlign w:val="bottom"/>
          </w:tcPr>
          <w:p>
            <w:pPr>
              <w:spacing w:after="0"/>
              <w:rPr>
                <w:sz w:val="1"/>
                <w:szCs w:val="1"/>
                <w:color w:val="auto"/>
              </w:rPr>
            </w:pPr>
          </w:p>
        </w:tc>
      </w:tr>
      <w:tr>
        <w:trPr>
          <w:trHeight w:val="262"/>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Netloss</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(74,135)</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Foreign currency translation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288"/>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Unrealized loss on available-for-sale securities, net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45"/>
        </w:trPr>
        <w:tc>
          <w:tcPr>
            <w:tcW w:w="66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Netcomprehensiveloss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(71,727)</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(74,015)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8"/>
                <w:szCs w:val="18"/>
                <w:color w:val="B4B4B4"/>
              </w:rPr>
              <w:t>.........................................................................</w:t>
            </w:r>
          </w:p>
        </w:tc>
        <w:tc>
          <w:tcPr>
            <w:tcW w:w="2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(10.70)</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(11.39)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used in computing 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8"/>
                <w:szCs w:val="18"/>
                <w:color w:val="B4B4B4"/>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6,668,268</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6,510,138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-3288665</wp:posOffset>
            </wp:positionV>
            <wp:extent cx="5810250" cy="3308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5810250" cy="3308350"/>
                    </a:xfrm>
                    <a:prstGeom prst="rect">
                      <a:avLst/>
                    </a:prstGeom>
                    <a:noFill/>
                  </pic:spPr>
                </pic:pic>
              </a:graphicData>
            </a:graphic>
          </wp:anchor>
        </w:drawing>
      </w:r>
    </w:p>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360"/>
          </w:cols>
          <w:pgMar w:left="1440" w:top="1371"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72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72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6"/>
                <w:szCs w:val="16"/>
                <w:b w:val="1"/>
                <w:bCs w:val="1"/>
                <w:color w:val="auto"/>
              </w:rPr>
              <w:t>Additional Paid-in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140"/>
              <w:spacing w:after="0" w:line="169"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20"/>
              <w:spacing w:after="0" w:line="16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4"/>
                <w:szCs w:val="14"/>
                <w:color w:val="auto"/>
              </w:rPr>
            </w:pPr>
          </w:p>
        </w:tc>
        <w:tc>
          <w:tcPr>
            <w:tcW w:w="15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20"/>
        </w:trPr>
        <w:tc>
          <w:tcPr>
            <w:tcW w:w="5340" w:type="dxa"/>
            <w:vAlign w:val="bottom"/>
          </w:tcPr>
          <w:p>
            <w:pPr>
              <w:spacing w:after="0"/>
              <w:rPr>
                <w:sz w:val="19"/>
                <w:szCs w:val="19"/>
                <w:color w:val="auto"/>
              </w:rPr>
            </w:pPr>
          </w:p>
        </w:tc>
        <w:tc>
          <w:tcPr>
            <w:tcW w:w="15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B4B4B4"/>
              </w:rPr>
              <w:t>....................................................................................</w:t>
            </w:r>
            <w:r>
              <w:rPr>
                <w:rFonts w:ascii="Times New Roman" w:cs="Times New Roman" w:eastAsia="Times New Roman" w:hAnsi="Times New Roman"/>
                <w:sz w:val="16"/>
                <w:szCs w:val="16"/>
                <w:color w:val="000000"/>
              </w:rPr>
              <w:t>Balance—December31,2023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6,503,913</w:t>
            </w:r>
          </w:p>
        </w:tc>
        <w:tc>
          <w:tcPr>
            <w:tcW w:w="60" w:type="dxa"/>
            <w:vAlign w:val="bottom"/>
          </w:tcPr>
          <w:p>
            <w:pPr>
              <w:spacing w:after="0"/>
              <w:rPr>
                <w:sz w:val="18"/>
                <w:szCs w:val="18"/>
                <w:color w:val="auto"/>
              </w:rPr>
            </w:pPr>
          </w:p>
        </w:tc>
        <w:tc>
          <w:tcPr>
            <w:tcW w:w="1160" w:type="dxa"/>
            <w:vAlign w:val="bottom"/>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807,158</w:t>
            </w:r>
          </w:p>
        </w:tc>
        <w:tc>
          <w:tcPr>
            <w:tcW w:w="6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(580,981)</w:t>
            </w:r>
          </w:p>
        </w:tc>
        <w:tc>
          <w:tcPr>
            <w:tcW w:w="60" w:type="dxa"/>
            <w:vAlign w:val="bottom"/>
          </w:tcPr>
          <w:p>
            <w:pPr>
              <w:spacing w:after="0"/>
              <w:rPr>
                <w:sz w:val="18"/>
                <w:szCs w:val="18"/>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225,829</w:t>
            </w:r>
          </w:p>
        </w:tc>
        <w:tc>
          <w:tcPr>
            <w:tcW w:w="0" w:type="dxa"/>
            <w:vAlign w:val="bottom"/>
          </w:tcPr>
          <w:p>
            <w:pPr>
              <w:spacing w:after="0"/>
              <w:rPr>
                <w:sz w:val="1"/>
                <w:szCs w:val="1"/>
                <w:color w:val="auto"/>
              </w:rPr>
            </w:pPr>
          </w:p>
        </w:tc>
      </w:tr>
      <w:tr>
        <w:trPr>
          <w:trHeight w:val="24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upon exercise of stock options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21,974</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4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17,257</w:t>
            </w:r>
          </w:p>
        </w:tc>
        <w:tc>
          <w:tcPr>
            <w:tcW w:w="0" w:type="dxa"/>
            <w:vAlign w:val="bottom"/>
          </w:tcPr>
          <w:p>
            <w:pPr>
              <w:spacing w:after="0"/>
              <w:rPr>
                <w:sz w:val="1"/>
                <w:szCs w:val="1"/>
                <w:color w:val="auto"/>
              </w:rPr>
            </w:pPr>
          </w:p>
        </w:tc>
      </w:tr>
      <w:tr>
        <w:trPr>
          <w:trHeight w:val="24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(74,135)</w:t>
            </w:r>
          </w:p>
        </w:tc>
        <w:tc>
          <w:tcPr>
            <w:tcW w:w="0" w:type="dxa"/>
            <w:vAlign w:val="bottom"/>
          </w:tcPr>
          <w:p>
            <w:pPr>
              <w:spacing w:after="0"/>
              <w:rPr>
                <w:sz w:val="1"/>
                <w:szCs w:val="1"/>
                <w:color w:val="auto"/>
              </w:rPr>
            </w:pPr>
          </w:p>
        </w:tc>
      </w:tr>
      <w:tr>
        <w:trPr>
          <w:trHeight w:val="246"/>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comprehensive income </w:t>
            </w:r>
            <w:r>
              <w:rPr>
                <w:rFonts w:ascii="Times New Roman" w:cs="Times New Roman" w:eastAsia="Times New Roman" w:hAnsi="Times New Roman"/>
                <w:sz w:val="16"/>
                <w:szCs w:val="16"/>
                <w:color w:val="B4B4B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4"/>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B4B4B4"/>
              </w:rPr>
              <w:t>....................................................................................</w:t>
            </w:r>
            <w:r>
              <w:rPr>
                <w:rFonts w:ascii="Times New Roman" w:cs="Times New Roman" w:eastAsia="Times New Roman" w:hAnsi="Times New Roman"/>
                <w:sz w:val="16"/>
                <w:szCs w:val="16"/>
                <w:color w:val="000000"/>
              </w:rPr>
              <w:t>Balance—December31,2024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6,525,887</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169,436</w:t>
            </w:r>
          </w:p>
        </w:tc>
        <w:tc>
          <w:tcPr>
            <w:tcW w:w="0" w:type="dxa"/>
            <w:vAlign w:val="bottom"/>
          </w:tcPr>
          <w:p>
            <w:pPr>
              <w:spacing w:after="0"/>
              <w:rPr>
                <w:sz w:val="1"/>
                <w:szCs w:val="1"/>
                <w:color w:val="auto"/>
              </w:rPr>
            </w:pPr>
          </w:p>
        </w:tc>
      </w:tr>
      <w:tr>
        <w:trPr>
          <w:trHeight w:val="24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upon exercise of stock options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70,252</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1"/>
        </w:trPr>
        <w:tc>
          <w:tcPr>
            <w:tcW w:w="5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Issuance of common stock in at-the-market offering, net of $0.3 million in</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costs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185,837</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0" w:type="dxa"/>
            <w:vAlign w:val="bottom"/>
          </w:tcPr>
          <w:p>
            <w:pPr>
              <w:spacing w:after="0"/>
              <w:rPr>
                <w:sz w:val="1"/>
                <w:szCs w:val="1"/>
                <w:color w:val="auto"/>
              </w:rPr>
            </w:pPr>
          </w:p>
        </w:tc>
      </w:tr>
      <w:tr>
        <w:trPr>
          <w:trHeight w:val="24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0" w:type="dxa"/>
            <w:vAlign w:val="bottom"/>
          </w:tcPr>
          <w:p>
            <w:pPr>
              <w:spacing w:after="0"/>
              <w:rPr>
                <w:sz w:val="1"/>
                <w:szCs w:val="1"/>
                <w:color w:val="auto"/>
              </w:rPr>
            </w:pPr>
          </w:p>
        </w:tc>
      </w:tr>
      <w:tr>
        <w:trPr>
          <w:trHeight w:val="24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16"/>
                <w:szCs w:val="16"/>
                <w:color w:val="B4B4B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(71,372)</w:t>
            </w:r>
          </w:p>
        </w:tc>
        <w:tc>
          <w:tcPr>
            <w:tcW w:w="0" w:type="dxa"/>
            <w:vAlign w:val="bottom"/>
          </w:tcPr>
          <w:p>
            <w:pPr>
              <w:spacing w:after="0"/>
              <w:rPr>
                <w:sz w:val="1"/>
                <w:szCs w:val="1"/>
                <w:color w:val="auto"/>
              </w:rPr>
            </w:pPr>
          </w:p>
        </w:tc>
      </w:tr>
      <w:tr>
        <w:trPr>
          <w:trHeight w:val="246"/>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comprehensive loss </w:t>
            </w:r>
            <w:r>
              <w:rPr>
                <w:rFonts w:ascii="Times New Roman" w:cs="Times New Roman" w:eastAsia="Times New Roman" w:hAnsi="Times New Roman"/>
                <w:sz w:val="16"/>
                <w:szCs w:val="16"/>
                <w:color w:val="B4B4B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0"/>
        </w:trPr>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B4B4B4"/>
              </w:rPr>
              <w:t>....................................................................................</w:t>
            </w:r>
            <w:r>
              <w:rPr>
                <w:rFonts w:ascii="Times New Roman" w:cs="Times New Roman" w:eastAsia="Times New Roman" w:hAnsi="Times New Roman"/>
                <w:sz w:val="16"/>
                <w:szCs w:val="16"/>
                <w:color w:val="000000"/>
              </w:rPr>
              <w:t>Balance—December31,2025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6,781,976</w:t>
            </w:r>
          </w:p>
        </w:tc>
        <w:tc>
          <w:tcPr>
            <w:tcW w:w="122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840,937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(726,488)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113,866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-2002790</wp:posOffset>
            </wp:positionV>
            <wp:extent cx="9372600" cy="2022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extLst>
                    </a:blip>
                    <a:srcRect/>
                    <a:stretch>
                      <a:fillRect/>
                    </a:stretch>
                  </pic:blipFill>
                  <pic:spPr bwMode="auto">
                    <a:xfrm>
                      <a:off x="0" y="0"/>
                      <a:ext cx="9372600" cy="202247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4640"/>
          </w:cols>
          <w:pgMar w:left="600" w:top="471" w:right="60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0" w:type="dxa"/>
            <w:vAlign w:val="bottom"/>
          </w:tcPr>
          <w:p>
            <w:pPr>
              <w:spacing w:after="0"/>
              <w:rPr>
                <w:sz w:val="1"/>
                <w:szCs w:val="1"/>
                <w:color w:val="auto"/>
              </w:rPr>
            </w:pPr>
          </w:p>
        </w:tc>
      </w:tr>
      <w:tr>
        <w:trPr>
          <w:trHeight w:val="220"/>
        </w:trPr>
        <w:tc>
          <w:tcPr>
            <w:tcW w:w="7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r>
              <w:rPr>
                <w:rFonts w:ascii="Times New Roman" w:cs="Times New Roman" w:eastAsia="Times New Roman" w:hAnsi="Times New Roman"/>
                <w:sz w:val="17"/>
                <w:szCs w:val="17"/>
                <w:color w:val="B4B4B4"/>
                <w:highlight w:val="white"/>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rPr>
              <w:t>(71,372)</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highlight w:val="white"/>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rPr>
              <w:t>(74,135)</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color w:val="B4B4B4"/>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17,257</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Non-cash lease expense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Foreign exchange remeasurement (gain) loss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Impairment of property, plant and equipment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Impairment of right-of-use assets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Change in fair value of contingent consideration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Depreciation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Restructuring costs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In-process research and development expenses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Accretion on invested securities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Non-cash interest expense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Non-cash loss on debt extinguishment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Change in fair value of derivative financial instrument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Loss on disposals of property and equipment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Prepaid expenses and other current assets </w:t>
            </w:r>
            <w:r>
              <w:rPr>
                <w:rFonts w:ascii="Times New Roman" w:cs="Times New Roman" w:eastAsia="Times New Roman" w:hAnsi="Times New Roman"/>
                <w:sz w:val="17"/>
                <w:szCs w:val="17"/>
                <w:color w:val="B4B4B4"/>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Other long-term assets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rent receivable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(4,267)</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Accounts payable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Operating lease liabilities</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Long-term liabilities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45"/>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Accrued expenses and other current liabilities </w:t>
            </w:r>
            <w:r>
              <w:rPr>
                <w:rFonts w:ascii="Times New Roman" w:cs="Times New Roman" w:eastAsia="Times New Roman" w:hAnsi="Times New Roman"/>
                <w:sz w:val="17"/>
                <w:szCs w:val="17"/>
                <w:color w:val="B4B4B4"/>
              </w:rPr>
              <w: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0" w:type="dxa"/>
            <w:vAlign w:val="bottom"/>
          </w:tcPr>
          <w:p>
            <w:pPr>
              <w:spacing w:after="0"/>
              <w:rPr>
                <w:sz w:val="1"/>
                <w:szCs w:val="1"/>
                <w:color w:val="auto"/>
              </w:rPr>
            </w:pPr>
          </w:p>
        </w:tc>
      </w:tr>
      <w:tr>
        <w:trPr>
          <w:trHeight w:val="22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000000"/>
              </w:rPr>
              <w:t>Netcashusedinoperatingactivities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(36,619)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(55,696)</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Purchase of marketable securities </w:t>
            </w:r>
            <w:r>
              <w:rPr>
                <w:rFonts w:ascii="Times New Roman" w:cs="Times New Roman" w:eastAsia="Times New Roman" w:hAnsi="Times New Roman"/>
                <w:sz w:val="17"/>
                <w:szCs w:val="17"/>
                <w:color w:val="B4B4B4"/>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(100,856)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(134,009)</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Maturities of marketable securities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198,100</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Cash received from asset disposals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Acquired in-process research and development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Cash received from termination of derivative financial instrument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45"/>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Purchase of derivative financial instrument</w:t>
            </w:r>
            <w:r>
              <w:rPr>
                <w:rFonts w:ascii="Times New Roman" w:cs="Times New Roman" w:eastAsia="Times New Roman" w:hAnsi="Times New Roman"/>
                <w:sz w:val="17"/>
                <w:szCs w:val="17"/>
                <w:color w:val="B4B4B4"/>
              </w:rPr>
              <w: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0" w:type="dxa"/>
            <w:vAlign w:val="bottom"/>
          </w:tcPr>
          <w:p>
            <w:pPr>
              <w:spacing w:after="0"/>
              <w:rPr>
                <w:sz w:val="1"/>
                <w:szCs w:val="1"/>
                <w:color w:val="auto"/>
              </w:rPr>
            </w:pPr>
          </w:p>
        </w:tc>
      </w:tr>
      <w:tr>
        <w:trPr>
          <w:trHeight w:val="22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000000"/>
              </w:rPr>
              <w:t>Netcashprovidedbyinvestingactivities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25,476</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53,974</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the 2024 Loan </w:t>
            </w:r>
            <w:r>
              <w:rPr>
                <w:rFonts w:ascii="Times New Roman" w:cs="Times New Roman" w:eastAsia="Times New Roman" w:hAnsi="Times New Roman"/>
                <w:sz w:val="17"/>
                <w:szCs w:val="17"/>
                <w:color w:val="B4B4B4"/>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85,600</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Principal payments on Construction Loans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(82,838)</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at-the-market offering, net of $0.3 million in issuance costs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Proceeds from exercise of stock options </w:t>
            </w:r>
            <w:r>
              <w:rPr>
                <w:rFonts w:ascii="Times New Roman" w:cs="Times New Roman" w:eastAsia="Times New Roman" w:hAnsi="Times New Roman"/>
                <w:sz w:val="17"/>
                <w:szCs w:val="17"/>
                <w:color w:val="B4B4B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45"/>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 Loan agreement closing costs</w:t>
            </w:r>
            <w:r>
              <w:rPr>
                <w:rFonts w:ascii="Times New Roman" w:cs="Times New Roman" w:eastAsia="Times New Roman" w:hAnsi="Times New Roman"/>
                <w:sz w:val="17"/>
                <w:szCs w:val="17"/>
                <w:color w:val="B4B4B4"/>
              </w:rPr>
              <w: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0" w:type="dxa"/>
            <w:vAlign w:val="bottom"/>
          </w:tcPr>
          <w:p>
            <w:pPr>
              <w:spacing w:after="0"/>
              <w:rPr>
                <w:sz w:val="1"/>
                <w:szCs w:val="1"/>
                <w:color w:val="auto"/>
              </w:rPr>
            </w:pPr>
          </w:p>
        </w:tc>
      </w:tr>
      <w:tr>
        <w:trPr>
          <w:trHeight w:val="22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000000"/>
              </w:rPr>
              <w:t>Netcashprovidedbyfinancingactivities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0" w:type="dxa"/>
            <w:vAlign w:val="bottom"/>
          </w:tcPr>
          <w:p>
            <w:pPr>
              <w:spacing w:after="0"/>
              <w:rPr>
                <w:sz w:val="1"/>
                <w:szCs w:val="1"/>
                <w:color w:val="auto"/>
              </w:rPr>
            </w:pPr>
          </w:p>
        </w:tc>
      </w:tr>
      <w:tr>
        <w:trPr>
          <w:trHeight w:val="221"/>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000000"/>
              </w:rPr>
              <w:t>Net(decrease)increaseincash,cashequivalents,andrestrictedcash</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4"/>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 xml:space="preserve">Effect of exchange rate changes on cash, cash equivalents and restricted cash </w:t>
            </w:r>
            <w:r>
              <w:rPr>
                <w:rFonts w:ascii="Times New Roman" w:cs="Times New Roman" w:eastAsia="Times New Roman" w:hAnsi="Times New Roman"/>
                <w:sz w:val="17"/>
                <w:szCs w:val="17"/>
                <w:color w:val="B4B4B4"/>
                <w:w w:val="99"/>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45"/>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 xml:space="preserve">Cash, cash equivalents and restricted cash—beginning of period </w:t>
            </w:r>
            <w:r>
              <w:rPr>
                <w:rFonts w:ascii="Times New Roman" w:cs="Times New Roman" w:eastAsia="Times New Roman" w:hAnsi="Times New Roman"/>
                <w:sz w:val="17"/>
                <w:szCs w:val="17"/>
                <w:color w:val="B4B4B4"/>
                <w:w w:val="99"/>
              </w:rPr>
              <w:t>...............................................................</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10,635</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10,696</w:t>
            </w:r>
          </w:p>
        </w:tc>
        <w:tc>
          <w:tcPr>
            <w:tcW w:w="0" w:type="dxa"/>
            <w:vAlign w:val="bottom"/>
          </w:tcPr>
          <w:p>
            <w:pPr>
              <w:spacing w:after="0"/>
              <w:rPr>
                <w:sz w:val="1"/>
                <w:szCs w:val="1"/>
                <w:color w:val="auto"/>
              </w:rPr>
            </w:pPr>
          </w:p>
        </w:tc>
      </w:tr>
      <w:tr>
        <w:trPr>
          <w:trHeight w:val="20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B4B4B4"/>
              </w:rPr>
              <w:t>.........................................................................</w:t>
            </w:r>
            <w:r>
              <w:rPr>
                <w:rFonts w:ascii="Times New Roman" w:cs="Times New Roman" w:eastAsia="Times New Roman" w:hAnsi="Times New Roman"/>
                <w:sz w:val="17"/>
                <w:szCs w:val="17"/>
                <w:color w:val="000000"/>
              </w:rPr>
              <w:t>Cash,cashequivalentsandrestrictedcash—endofperiod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 xml:space="preserve">Cash paid for interest </w:t>
            </w:r>
            <w:r>
              <w:rPr>
                <w:rFonts w:ascii="Times New Roman" w:cs="Times New Roman" w:eastAsia="Times New Roman" w:hAnsi="Times New Roman"/>
                <w:sz w:val="17"/>
                <w:szCs w:val="17"/>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-7193915</wp:posOffset>
            </wp:positionV>
            <wp:extent cx="5981700" cy="7213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extLst>
                    </a:blip>
                    <a:srcRect/>
                    <a:stretch>
                      <a:fillRect/>
                    </a:stretch>
                  </pic:blipFill>
                  <pic:spPr bwMode="auto">
                    <a:xfrm>
                      <a:off x="0" y="0"/>
                      <a:ext cx="5981700" cy="7213600"/>
                    </a:xfrm>
                    <a:prstGeom prst="rect">
                      <a:avLst/>
                    </a:prstGeom>
                    <a:noFill/>
                  </pic:spPr>
                </pic:pic>
              </a:graphicData>
            </a:graphic>
          </wp:anchor>
        </w:drawing>
      </w:r>
    </w:p>
    <w:p>
      <w:pPr>
        <w:sectPr>
          <w:pgSz w:w="12240" w:h="15840" w:orient="portrait"/>
          <w:cols w:equalWidth="0" w:num="1">
            <w:col w:w="9360"/>
          </w:cols>
          <w:pgMar w:left="1440" w:top="1371" w:right="1440" w:bottom="909"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w:t>
      </w:r>
    </w:p>
    <w:p>
      <w:pPr>
        <w:sectPr>
          <w:pgSz w:w="12240" w:h="15840" w:orient="portrait"/>
          <w:cols w:equalWidth="0" w:num="1">
            <w:col w:w="9360"/>
          </w:cols>
          <w:pgMar w:left="1440" w:top="1371" w:right="1440" w:bottom="909" w:gutter="0" w:footer="0" w:header="0"/>
          <w:type w:val="continuous"/>
        </w:sectPr>
      </w:pPr>
    </w:p>
    <w:bookmarkStart w:id="89" w:name="page90"/>
    <w:bookmarkEnd w:id="89"/>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5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257" w:lineRule="exact"/>
        <w:rPr>
          <w:sz w:val="20"/>
          <w:szCs w:val="20"/>
          <w:color w:val="auto"/>
        </w:rPr>
      </w:pPr>
    </w:p>
    <w:p>
      <w:pPr>
        <w:ind w:right="80" w:firstLine="450"/>
        <w:spacing w:after="0" w:line="281" w:lineRule="auto"/>
        <w:rPr>
          <w:sz w:val="20"/>
          <w:szCs w:val="20"/>
          <w:color w:val="auto"/>
        </w:rPr>
      </w:pPr>
      <w:r>
        <w:rPr>
          <w:rFonts w:ascii="Times New Roman" w:cs="Times New Roman" w:eastAsia="Times New Roman" w:hAnsi="Times New Roman"/>
          <w:sz w:val="20"/>
          <w:szCs w:val="20"/>
          <w:color w:val="auto"/>
        </w:rPr>
        <w:t>Instil Bio, Inc. (the “Company”) is a biotechnology company focused on identifying and advancing innovative therapeutic opportunities.</w:t>
      </w:r>
    </w:p>
    <w:p>
      <w:pPr>
        <w:spacing w:after="0" w:line="141" w:lineRule="exact"/>
        <w:rPr>
          <w:sz w:val="20"/>
          <w:szCs w:val="20"/>
          <w:color w:val="auto"/>
        </w:rPr>
      </w:pPr>
    </w:p>
    <w:p>
      <w:pPr>
        <w:ind w:right="300" w:firstLine="450"/>
        <w:spacing w:after="0" w:line="281" w:lineRule="auto"/>
        <w:rPr>
          <w:sz w:val="20"/>
          <w:szCs w:val="20"/>
          <w:color w:val="auto"/>
        </w:rPr>
      </w:pPr>
      <w:r>
        <w:rPr>
          <w:rFonts w:ascii="Times New Roman" w:cs="Times New Roman" w:eastAsia="Times New Roman" w:hAnsi="Times New Roman"/>
          <w:sz w:val="20"/>
          <w:szCs w:val="20"/>
          <w:color w:val="auto"/>
        </w:rPr>
        <w:t>In January 2026, the Company announced that its wholly owned subsidiary, Axion Bio, Inc. (“Axion Bio”), was discontinuing development of AXN-2510/IMM2510, its former lead product candidate.</w:t>
      </w:r>
    </w:p>
    <w:p>
      <w:pPr>
        <w:spacing w:after="0" w:line="141" w:lineRule="exact"/>
        <w:rPr>
          <w:sz w:val="20"/>
          <w:szCs w:val="20"/>
          <w:color w:val="auto"/>
        </w:rPr>
      </w:pPr>
    </w:p>
    <w:p>
      <w:pPr>
        <w:ind w:right="160" w:firstLine="450"/>
        <w:spacing w:after="0" w:line="281" w:lineRule="auto"/>
        <w:rPr>
          <w:sz w:val="20"/>
          <w:szCs w:val="20"/>
          <w:color w:val="auto"/>
        </w:rPr>
      </w:pPr>
      <w:r>
        <w:rPr>
          <w:rFonts w:ascii="Times New Roman" w:cs="Times New Roman" w:eastAsia="Times New Roman" w:hAnsi="Times New Roman"/>
          <w:sz w:val="20"/>
          <w:szCs w:val="20"/>
          <w:color w:val="auto"/>
        </w:rPr>
        <w:t>The Company is actively seeking to in-license or acquire and develop additional novel therapeutic candidates in diseases with significant unmet medical need.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19" w:lineRule="exact"/>
        <w:rPr>
          <w:sz w:val="20"/>
          <w:szCs w:val="20"/>
          <w:color w:val="auto"/>
        </w:rPr>
      </w:pPr>
    </w:p>
    <w:p>
      <w:pPr>
        <w:ind w:right="200" w:firstLine="450"/>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9" w:lineRule="exact"/>
        <w:rPr>
          <w:sz w:val="20"/>
          <w:szCs w:val="20"/>
          <w:color w:val="auto"/>
        </w:rPr>
      </w:pPr>
    </w:p>
    <w:p>
      <w:pPr>
        <w:ind w:right="180" w:firstLine="450"/>
        <w:spacing w:after="0" w:line="255"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GAAP requires management to make estimates and assumptions that affect the reported amounts of expenses during the reporting period. Significant estimates and assumptions made in the accompanying consolidated financial statements include but are not limited to the fair value of assets held for sale and determination of fair value of the Company’s building, and stock-based compensation.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19"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restricted cash, and marketable securities. The Company’s cash and cash equivalents are held by two financial institutions in the United States (“U.S.”) and one financial institution in the United Kingdom (“UK”), which management believes to be financially sound, and accordingly, minimal credit risk exists with respect to the financial institutions. At times, the Company’s deposits held in the U.S. and UK may exceed the Federal Depository Insurance Corporation and Financial Services Compensation Scheme, respectively, insured limits. During the years ended December 31, 2025 and 2024, the Company has not experienced any credit losses in such accounts or marketable securities.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21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Company is subject to a number of risks similar to other development-stage biopharmaceutical companies, including but not limited to, the Company’s ability to acquire or in-license promising product candidates, dependency on the clinical and commercial success of such product candidates, if any, ability to obtain regulatory approval of any product candidates, uncertainty of broad adoption of its approved products, if any, by physicians and patients, manufacturing, the need to obtain adequate additional funding, significant competition, and protection of its intellectual property portfolio.</w:t>
      </w:r>
    </w:p>
    <w:p>
      <w:pPr>
        <w:sectPr>
          <w:pgSz w:w="12240" w:h="15840" w:orient="portrait"/>
          <w:cols w:equalWidth="0" w:num="1">
            <w:col w:w="9360"/>
          </w:cols>
          <w:pgMar w:left="1440" w:top="144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219"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20"/>
          <w:szCs w:val="20"/>
          <w:color w:val="auto"/>
        </w:rPr>
        <w:t>Operating segments are identified as components of an entity for which separate discrete financial information is available and that is regularly reviewed by the chief operating decision maker, the Company’s Chief Executive Officer, in deciding how to allocate resources to an individual segment and in assessing performance. The Company has determined it operates in a single operating segment and has one operating segment. See Note 3 for further information.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Restricted Cash, and Marketable Securities</w:t>
      </w:r>
    </w:p>
    <w:p>
      <w:pPr>
        <w:spacing w:after="0" w:line="219" w:lineRule="exact"/>
        <w:rPr>
          <w:sz w:val="20"/>
          <w:szCs w:val="20"/>
          <w:color w:val="auto"/>
        </w:rPr>
      </w:pPr>
    </w:p>
    <w:p>
      <w:pPr>
        <w:jc w:val="both"/>
        <w:ind w:right="340" w:firstLine="450"/>
        <w:spacing w:after="0" w:line="266"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original maturities of three months or less from the purchase date to be cash equivalents. Cash equivalents include amounts invested in money market accounts.</w:t>
      </w:r>
    </w:p>
    <w:p>
      <w:pPr>
        <w:spacing w:after="0" w:line="155"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Restricted cash consists of a cash reserve which served as collateral for the Company’s Construction Loans (as defined in Note 8) during the year ended December 31, 2024. As of December 31, 2025, restricted cash consists of a cash reserve allocated to future tax payments. There was $0.2 million and $1.8 million restricted cash as of December 31, 2025 and 2024, respectively, on the consolidated balance sheets.</w:t>
      </w:r>
    </w:p>
    <w:p>
      <w:pPr>
        <w:spacing w:after="0" w:line="163"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20"/>
          <w:szCs w:val="20"/>
          <w:color w:val="auto"/>
        </w:rPr>
        <w:t>The Company’s investments in marketable securities have been classified and accounted for as available-for-sale. The Company classifies its maturities as either short-term or long-term based on each instrument’s underlying contractual maturity date, which are carried at their fair values based on the quoted market prices of the securities. Unrealized gains and losses are reported as accumulated other comprehensive income (loss). Realized gains and losses on available-for-sale securities are included in net loss in the period earned or incurred. As of December 31, 2025 and 2024, marketable securities consisted of U.S. Treasury bills.</w:t>
      </w:r>
    </w:p>
    <w:p>
      <w:pPr>
        <w:spacing w:after="0" w:line="168" w:lineRule="exact"/>
        <w:rPr>
          <w:sz w:val="20"/>
          <w:szCs w:val="20"/>
          <w:color w:val="auto"/>
        </w:rPr>
      </w:pPr>
    </w:p>
    <w:p>
      <w:pPr>
        <w:jc w:val="both"/>
        <w:ind w:right="100" w:firstLine="450"/>
        <w:spacing w:after="0" w:line="255" w:lineRule="auto"/>
        <w:rPr>
          <w:sz w:val="20"/>
          <w:szCs w:val="20"/>
          <w:color w:val="auto"/>
        </w:rPr>
      </w:pPr>
      <w:r>
        <w:rPr>
          <w:rFonts w:ascii="Times New Roman" w:cs="Times New Roman" w:eastAsia="Times New Roman" w:hAnsi="Times New Roman"/>
          <w:sz w:val="20"/>
          <w:szCs w:val="20"/>
          <w:color w:val="auto"/>
        </w:rPr>
        <w:t>The Company periodically reviews whether its securities may be other-than-temporarily impaired, including whether or not (i) the Company has the intent to sell the security or (ii) it is more likely than not that the Company will be required to sell the security before its anticipated recovery. If one of these factors is met, the Company will record an impairment loss associated with its impaired investment. The impairment loss will be recorded as a write-down of investments in the consolidated balance sheets and a realized loss within other expense in the consolidated statements of operations and comprehensive loss. For the years ended December 31, 2025 and 2024, there were no impairment losses for the investments.</w:t>
      </w:r>
    </w:p>
    <w:p>
      <w:pPr>
        <w:spacing w:after="0" w:line="170"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balance sheets that sum to the amounts shown in the consolidated statements of cash flows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64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3"/>
                <w:szCs w:val="23"/>
                <w:color w:val="auto"/>
              </w:rPr>
            </w:pPr>
          </w:p>
        </w:tc>
      </w:tr>
      <w:tr>
        <w:trPr>
          <w:trHeight w:val="265"/>
        </w:trPr>
        <w:tc>
          <w:tcPr>
            <w:tcW w:w="5640" w:type="dxa"/>
            <w:vAlign w:val="bottom"/>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Cashandcashequivalents</w:t>
            </w:r>
          </w:p>
        </w:tc>
        <w:tc>
          <w:tcPr>
            <w:tcW w:w="118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6,638</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8,805</w:t>
            </w:r>
          </w:p>
        </w:tc>
      </w:tr>
      <w:tr>
        <w:trPr>
          <w:trHeight w:val="288"/>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Restricted cash </w:t>
            </w:r>
            <w:r>
              <w:rPr>
                <w:rFonts w:ascii="Times New Roman" w:cs="Times New Roman" w:eastAsia="Times New Roman" w:hAnsi="Times New Roman"/>
                <w:sz w:val="20"/>
                <w:szCs w:val="20"/>
                <w:color w:val="B4B4B4"/>
                <w:w w:val="98"/>
              </w:rPr>
              <w:t>.......................................................................................</w:t>
            </w: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1,830</w:t>
            </w:r>
          </w:p>
        </w:tc>
      </w:tr>
      <w:tr>
        <w:trPr>
          <w:trHeight w:val="24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Cash,cashequivalentsandrestrictedcash</w:t>
            </w:r>
          </w:p>
        </w:tc>
        <w:tc>
          <w:tcPr>
            <w:tcW w:w="118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6,804</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10,635</w:t>
            </w:r>
          </w:p>
        </w:tc>
      </w:tr>
      <w:tr>
        <w:trPr>
          <w:trHeight w:val="20"/>
        </w:trPr>
        <w:tc>
          <w:tcPr>
            <w:tcW w:w="5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219"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a going concern basis, which contemplates the realization of assets and the satisfaction of liabilities in the normal course of business. Management evaluated the Company’s ability to continue as a going concern for the twelve months following the issuance of the consolidated financial statements. As disclosed and defined in Note 8, the 2024 Loan is due in January 2027, for total principal of $85.6 million which is in excess of cash, cash equivalents, and marketable securities on hand as of December 31, 2025, which management has concluded is an indicator of substantial doubt about the Company's ability to continue as a going concern.</w:t>
      </w:r>
    </w:p>
    <w:p>
      <w:pPr>
        <w:sectPr>
          <w:pgSz w:w="12240" w:h="15840" w:orient="portrait"/>
          <w:cols w:equalWidth="0" w:num="1">
            <w:col w:w="9360"/>
          </w:cols>
          <w:pgMar w:left="1440" w:top="1369" w:right="1440" w:bottom="1440" w:gutter="0" w:footer="0" w:header="0"/>
        </w:sectPr>
      </w:pPr>
    </w:p>
    <w:bookmarkStart w:id="91" w:name="page92"/>
    <w:bookmarkEnd w:id="91"/>
    <w:p>
      <w:pPr>
        <w:ind w:right="40" w:firstLine="450"/>
        <w:spacing w:after="0" w:line="238" w:lineRule="auto"/>
        <w:rPr>
          <w:sz w:val="20"/>
          <w:szCs w:val="20"/>
          <w:color w:val="auto"/>
        </w:rPr>
      </w:pPr>
      <w:r>
        <w:rPr>
          <w:rFonts w:ascii="Times New Roman" w:cs="Times New Roman" w:eastAsia="Times New Roman" w:hAnsi="Times New Roman"/>
          <w:sz w:val="20"/>
          <w:szCs w:val="20"/>
          <w:color w:val="auto"/>
        </w:rPr>
        <w:t>If the Company is unable to refinance the 2024 Loan prior to maturity, the Company plans to execute its contractual right to extend the maturity of the 2024 Loan to January 2028. In addition to the Company’s plan to exercise the extension option in the 2024 Loan, the Company may seek to refinance or restructure the 2024 Loan including by extending its maturity date beyond the extended date, sell the building to repay the 2024 Loan, or seek additional financing in the form of equity or debt instruments. There can be no assurance that new financing or other forms of funding will be available on favorable terms or at all. Management concluded that the Company’s contractual right to exercise the extension option to January 2028 is solely within the Company’s control and alleviates the conditions that raise substantial doubt about the Company’s ability to continue as a going concern.</w:t>
      </w: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19" w:lineRule="exact"/>
        <w:rPr>
          <w:sz w:val="20"/>
          <w:szCs w:val="20"/>
          <w:color w:val="auto"/>
        </w:rPr>
      </w:pPr>
    </w:p>
    <w:p>
      <w:pPr>
        <w:ind w:right="80" w:firstLine="450"/>
        <w:spacing w:after="0" w:line="271" w:lineRule="auto"/>
        <w:rPr>
          <w:sz w:val="20"/>
          <w:szCs w:val="20"/>
          <w:color w:val="auto"/>
        </w:rPr>
      </w:pPr>
      <w:r>
        <w:rPr>
          <w:rFonts w:ascii="Times New Roman" w:cs="Times New Roman" w:eastAsia="Times New Roman" w:hAnsi="Times New Roman"/>
          <w:sz w:val="19"/>
          <w:szCs w:val="19"/>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measures fair value based on a three-tier hierarchy, which prioritizes the inputs used in the valuation methodologies in measuring fair value as follows:</w:t>
      </w:r>
    </w:p>
    <w:p>
      <w:pPr>
        <w:spacing w:after="0" w:line="149" w:lineRule="exact"/>
        <w:rPr>
          <w:sz w:val="20"/>
          <w:szCs w:val="20"/>
          <w:color w:val="auto"/>
        </w:rPr>
      </w:pPr>
    </w:p>
    <w:p>
      <w:pPr>
        <w:ind w:left="720" w:right="5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1 —</w:t>
      </w:r>
      <w:r>
        <w:rPr>
          <w:rFonts w:ascii="Times New Roman" w:cs="Times New Roman" w:eastAsia="Times New Roman" w:hAnsi="Times New Roman"/>
          <w:sz w:val="20"/>
          <w:szCs w:val="20"/>
          <w:color w:val="auto"/>
        </w:rPr>
        <w:t>Observable inputs such as unadjusted, quoted prices in active markets for identical assets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at the measurement date.</w:t>
      </w:r>
    </w:p>
    <w:p>
      <w:pPr>
        <w:spacing w:after="0" w:line="134" w:lineRule="exact"/>
        <w:rPr>
          <w:sz w:val="20"/>
          <w:szCs w:val="20"/>
          <w:color w:val="auto"/>
        </w:rPr>
      </w:pPr>
    </w:p>
    <w:p>
      <w:pPr>
        <w:ind w:left="720" w:right="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Level 2 —</w:t>
      </w:r>
      <w:r>
        <w:rPr>
          <w:rFonts w:ascii="Times New Roman" w:cs="Times New Roman" w:eastAsia="Times New Roman" w:hAnsi="Times New Roman"/>
          <w:sz w:val="20"/>
          <w:szCs w:val="20"/>
          <w:color w:val="auto"/>
        </w:rPr>
        <w:t>Inputs (other than quoted prices included in Level 1) are either directly or indirectly observable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the assets or liabilities. These include quoted prices for similar assets or liabilities in active markets and quoted prices for identical or similar assets or liabilities in markets that are not active.</w:t>
      </w:r>
    </w:p>
    <w:p>
      <w:pPr>
        <w:spacing w:after="0" w:line="150" w:lineRule="exact"/>
        <w:rPr>
          <w:sz w:val="20"/>
          <w:szCs w:val="20"/>
          <w:color w:val="auto"/>
        </w:rPr>
      </w:pPr>
    </w:p>
    <w:p>
      <w:pPr>
        <w:ind w:left="720" w:right="2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3 —</w:t>
      </w:r>
      <w:r>
        <w:rPr>
          <w:rFonts w:ascii="Times New Roman" w:cs="Times New Roman" w:eastAsia="Times New Roman" w:hAnsi="Times New Roman"/>
          <w:sz w:val="20"/>
          <w:szCs w:val="20"/>
          <w:color w:val="auto"/>
        </w:rPr>
        <w:t>Unobservable inputs that are supported by little or no market activity and that are significant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fair value of the assets or liabilities.</w:t>
      </w:r>
    </w:p>
    <w:p>
      <w:pPr>
        <w:spacing w:after="0" w:line="13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In determining fair value, the Company utilize quoted market prices, or valuation techniques that maximize the use of unobservable inputs to the extent possible as well as considers counterparty credit risk in its assessment of fair value.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 Net</w:t>
      </w:r>
    </w:p>
    <w:p>
      <w:pPr>
        <w:spacing w:after="0" w:line="21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20"/>
          <w:szCs w:val="20"/>
          <w:color w:val="auto"/>
        </w:rPr>
        <w:t>Property, plant and equipment, with the exception of land, is stated at cost less accumulated depreciation. Depreciation is computed on a straight-line basis over the estimated useful lives of the related assets. Maintenance and repairs are charged to operations as incurred. Upon sale or retirement of assets, the cost and related accumulated depreciation are removed from the consolidated balance sheets and the resulting gain or loss is reflected in the consolidated statements of operations and comprehensive loss. The estimated useful lives of the Company’s property, plant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5969000" cy="568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281"/>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Computer equipment </w:t>
            </w:r>
            <w:r>
              <w:rPr>
                <w:rFonts w:ascii="Times New Roman" w:cs="Times New Roman" w:eastAsia="Times New Roman" w:hAnsi="Times New Roman"/>
                <w:sz w:val="20"/>
                <w:szCs w:val="20"/>
                <w:color w:val="B4B4B4"/>
              </w:rPr>
              <w:t>.............................................................................</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 years</w:t>
            </w:r>
          </w:p>
        </w:tc>
      </w:tr>
      <w:tr>
        <w:trPr>
          <w:trHeight w:val="285"/>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Office furniture </w:t>
            </w:r>
            <w:r>
              <w:rPr>
                <w:rFonts w:ascii="Times New Roman" w:cs="Times New Roman" w:eastAsia="Times New Roman" w:hAnsi="Times New Roman"/>
                <w:sz w:val="20"/>
                <w:szCs w:val="20"/>
                <w:color w:val="B4B4B4"/>
              </w:rPr>
              <w:t>......................................................................................</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 years</w:t>
            </w:r>
          </w:p>
        </w:tc>
      </w:tr>
      <w:tr>
        <w:trPr>
          <w:trHeight w:val="285"/>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Building </w:t>
            </w:r>
            <w:r>
              <w:rPr>
                <w:rFonts w:ascii="Times New Roman" w:cs="Times New Roman" w:eastAsia="Times New Roman" w:hAnsi="Times New Roman"/>
                <w:sz w:val="20"/>
                <w:szCs w:val="20"/>
                <w:color w:val="B4B4B4"/>
              </w:rPr>
              <w:t>.................................................................................................</w:t>
            </w: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5"/>
              </w:rPr>
              <w:t>35 years</w:t>
            </w:r>
          </w:p>
        </w:tc>
      </w:tr>
    </w:tbl>
    <w:p>
      <w:pPr>
        <w:spacing w:after="0" w:line="251"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20"/>
          <w:szCs w:val="20"/>
          <w:color w:val="auto"/>
        </w:rPr>
        <w:t>The Company owns land and building and, as described in Note 4, the clinical and commercial manufacturing building has been completed and has been leased. See Note 8 for details. In March 2025, the Company’s board of directors (the “Board of Directors”) approved a plan to sell the Tarzana facility. The Company engaged a broker to facilitate the sale of the Tarzana facility and therefore reclassified the land and building as held for sale in the consolidated balance sheet as of December 31, 2025. Refer to Note 4.</w:t>
      </w:r>
    </w:p>
    <w:p>
      <w:pPr>
        <w:sectPr>
          <w:pgSz w:w="12240" w:h="15840" w:orient="portrait"/>
          <w:cols w:equalWidth="0" w:num="1">
            <w:col w:w="9360"/>
          </w:cols>
          <w:pgMar w:left="1440" w:top="1378"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Assets Held for Sale</w:t>
      </w:r>
    </w:p>
    <w:p>
      <w:pPr>
        <w:spacing w:after="0" w:line="219"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The Company classifies long-lived assets or disposal groups to be sold as held for sale in the period in which all of the following criteria are met: management, having the authority to approve the action, commits to a plan to sell the asset or disposal group; the asset or disposal group is available for immediate sale in its present condition subject only to terms that are usual and customary for sales of such assets or disposal group;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and actions required to complete the plan to sell have been initiated.</w:t>
      </w:r>
    </w:p>
    <w:p>
      <w:pPr>
        <w:spacing w:after="0" w:line="173"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Company initially measures a long-lived asset or disposal group that is held for sale at the lower of its carrying value or fair value less any costs to sell. Fair value is estimated by the Company through evaluations of quoted market prices received for other comparable held for sale assets sold by the Company. Any loss resulting from this measurement is recognized in the period in which the held for 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 Upon determining that a long-lived asset or disposal group meets the criteria to be classified as held for sale, the Company ceases depreciation and reports long-lived assets in the line item “assets held for sale” in its consolidated balance sheets.</w:t>
      </w:r>
    </w:p>
    <w:p>
      <w:pPr>
        <w:spacing w:after="0" w:line="173"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In March 2025, the Company’s Board of Directors approved a plan to sell the Tarzana facility. The Company engaged a broker to facilitate the sale of the Tarzana facility and therefore reclassified the land and building as held for sale in the consolidated balance sheet as of December 31, 2025. The Tarzana facility is currently leased to AstraZeneca Pharmaceuticals LP (“Tenant”) and Tenant has a right of first offer to purchase it. Refer to Note 8. During the year ended December 31, 2025, the Company recorded a building impairment related to the Tarzana facility of $16.6 million. During the year ended December 31, 2024, the Company recorded non-cash impairment charges for assets held for sale related to impairment of the Company’s Manchester, United Kingdom manufacturing equipment of $4.3 million recognized in the consolidated statements of operations and comprehensive loss in the line item “restructuring and impairment charges.” See Note 4 for more information.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1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The Company reviews its long-lived assets for impairment whenever events or changes in circumstances indicate that the carrying amount of an asset may not be recoverable or that the useful life is shorter than originally estimated. Recoverability of assets is measured by comparing the carrying amount of an asset to future undiscounted net cash flows expected to be generated by the asset over its remaining useful life. If such assets are impaired, the impairment recognized is measured by the amount by which the carrying amount of the assets exceeds the fair value of the assets. If the useful life is shorter than originally estimated, the Company depreciates or amortizes the remaining carrying value over the revised shorter useful life. During the year ended December 31, 2025 the Company recognized an impairment of long-lived assets held for sale related to the Tarzana facility of $16.6 million. During the year ended December 31, 2024, the Company recorded non-cash impairment charges for assets held for sale related to impairment of the Company’s Manchester, United Kingdom manufacturing equipment of $4.3 million.</w:t>
      </w:r>
    </w:p>
    <w:p>
      <w:pPr>
        <w:spacing w:after="0" w:line="173" w:lineRule="exact"/>
        <w:rPr>
          <w:sz w:val="20"/>
          <w:szCs w:val="20"/>
          <w:color w:val="auto"/>
        </w:rPr>
      </w:pPr>
    </w:p>
    <w:p>
      <w:pPr>
        <w:ind w:right="1020" w:firstLine="450"/>
        <w:spacing w:after="0" w:line="281" w:lineRule="auto"/>
        <w:rPr>
          <w:sz w:val="20"/>
          <w:szCs w:val="20"/>
          <w:color w:val="auto"/>
        </w:rPr>
      </w:pPr>
      <w:r>
        <w:rPr>
          <w:rFonts w:ascii="Times New Roman" w:cs="Times New Roman" w:eastAsia="Times New Roman" w:hAnsi="Times New Roman"/>
          <w:sz w:val="20"/>
          <w:szCs w:val="20"/>
          <w:color w:val="auto"/>
        </w:rPr>
        <w:t>The Company recognized non-cash impairment charges of nil and $0.3 million for the years ended December 31, 2025 and 2024, respectively, related to impairment of leasehold improvements.</w:t>
      </w:r>
    </w:p>
    <w:p>
      <w:pPr>
        <w:spacing w:after="0" w:line="141" w:lineRule="exact"/>
        <w:rPr>
          <w:sz w:val="20"/>
          <w:szCs w:val="20"/>
          <w:color w:val="auto"/>
        </w:rPr>
      </w:pPr>
    </w:p>
    <w:p>
      <w:pPr>
        <w:jc w:val="center"/>
        <w:ind w:right="460"/>
        <w:spacing w:after="0" w:line="309" w:lineRule="auto"/>
        <w:rPr>
          <w:sz w:val="20"/>
          <w:szCs w:val="20"/>
          <w:color w:val="auto"/>
        </w:rPr>
      </w:pPr>
      <w:r>
        <w:rPr>
          <w:rFonts w:ascii="Times New Roman" w:cs="Times New Roman" w:eastAsia="Times New Roman" w:hAnsi="Times New Roman"/>
          <w:sz w:val="19"/>
          <w:szCs w:val="19"/>
          <w:color w:val="auto"/>
        </w:rPr>
        <w:t>These non-cash impairment charges were recorded in the consolidated statements of operations and comprehensive loss in the line item “restructuring and impairment charges.” See Note 13 for more information.</w:t>
      </w:r>
    </w:p>
    <w:p>
      <w:pPr>
        <w:sectPr>
          <w:pgSz w:w="12240" w:h="15840" w:orient="portrait"/>
          <w:cols w:equalWidth="0" w:num="1">
            <w:col w:w="9360"/>
          </w:cols>
          <w:pgMar w:left="1440" w:top="1369"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1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the milestone results are achieved.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1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The Company measures its stock-based awards granted to employees, non-employee directors, consultants and independent advisors based on the estimated grant date fair value of the awards. For stock-based awards with only service conditions, compensation expense is recognized over the requisite service period using the straight-line method. For stock-based awards that include performance conditions, compensation expense is not recognized until the performance condition is probable to occur. The Company uses the Black-Scholes option pricing model to estimate the fair value of its stock-based awards. The Black-Scholes option pricing model requires the Company to make assumptions and judgements about the variables used in the calculations, including the fair value of common stock, expected term, expected volatility of the Company’s common stock, risk-free interest rate and expected dividend yield. The Company accounts for forfeitures of stock-based awards as they occur.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Income taxes are accounted for using the asset and liability method. Deferred tax assets and liabilities are recognized for the future tax consequences attributable to differences between the financial statement carrying amounts or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expected to be realized.</w:t>
      </w:r>
    </w:p>
    <w:p>
      <w:pPr>
        <w:spacing w:after="0" w:line="170"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19" w:lineRule="exact"/>
        <w:rPr>
          <w:sz w:val="20"/>
          <w:szCs w:val="20"/>
          <w:color w:val="auto"/>
        </w:rPr>
      </w:pPr>
    </w:p>
    <w:p>
      <w:pPr>
        <w:ind w:right="180" w:firstLine="450"/>
        <w:spacing w:after="0" w:line="255" w:lineRule="auto"/>
        <w:rPr>
          <w:sz w:val="20"/>
          <w:szCs w:val="20"/>
          <w:color w:val="auto"/>
        </w:rPr>
      </w:pPr>
      <w:r>
        <w:rPr>
          <w:rFonts w:ascii="Times New Roman" w:cs="Times New Roman" w:eastAsia="Times New Roman" w:hAnsi="Times New Roman"/>
          <w:sz w:val="20"/>
          <w:szCs w:val="20"/>
          <w:color w:val="auto"/>
        </w:rPr>
        <w:t>The Company’s reporting currency is the U.S. dollar. The functional currency of the Company’s subsidiary located in the United Kingdom is the British pound sterling. Balance sheets prepared in the functional currency are translated to the reporting currency at exchange rates in effect at the end of the accounting period, except for stockholders’ deficit accounts, which are translated at rates in effect when these balances were originally recorded. Revenue and expense accounts are translated using an average exchange rate in effect during the period. The resulting foreign currency translation adjustments are recorded as a separate component of accumulated other comprehensive loss in the accompanying consolidated balance sheets.</w:t>
      </w:r>
    </w:p>
    <w:p>
      <w:pPr>
        <w:spacing w:after="0" w:line="170"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Gains and losses resulting from exchange rate changes on intercompany transactions denominated in a currency other than the local currency are included in earnings as incurred as the related amounts are expected to be repaid in the foreseeable future.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19" w:lineRule="exact"/>
        <w:rPr>
          <w:sz w:val="20"/>
          <w:szCs w:val="20"/>
          <w:color w:val="auto"/>
        </w:rPr>
      </w:pPr>
    </w:p>
    <w:p>
      <w:pPr>
        <w:jc w:val="both"/>
        <w:ind w:right="60" w:firstLine="450"/>
        <w:spacing w:after="0" w:line="286" w:lineRule="auto"/>
        <w:rPr>
          <w:sz w:val="20"/>
          <w:szCs w:val="20"/>
          <w:color w:val="auto"/>
        </w:rPr>
      </w:pPr>
      <w:r>
        <w:rPr>
          <w:rFonts w:ascii="Times New Roman" w:cs="Times New Roman" w:eastAsia="Times New Roman" w:hAnsi="Times New Roman"/>
          <w:sz w:val="19"/>
          <w:szCs w:val="19"/>
          <w:color w:val="auto"/>
        </w:rPr>
        <w:t>Basic net loss per share is calculated by dividing the net loss by the weighted-average number of shares of the Company’s common stock outstanding for the period, without consideration for potential dilutive shares of common stock. For purposes of the diluted net loss per share calculation, convertible preferred stock and common stock</w:t>
      </w:r>
    </w:p>
    <w:p>
      <w:pPr>
        <w:sectPr>
          <w:pgSz w:w="12240" w:h="15840" w:orient="portrait"/>
          <w:cols w:equalWidth="0" w:num="1">
            <w:col w:w="9360"/>
          </w:cols>
          <w:pgMar w:left="1440" w:top="1369" w:right="1440" w:bottom="836" w:gutter="0" w:footer="0" w:header="0"/>
        </w:sectPr>
      </w:pPr>
    </w:p>
    <w:bookmarkStart w:id="94" w:name="page95"/>
    <w:bookmarkEnd w:id="94"/>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options are considered to be potentially dilutive securities. Diluted net loss per share is the same as basic net loss per share for each period presented since the effects of potentially dilutive securities are antidilutive given the net loss of the Company.</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19" w:lineRule="exact"/>
        <w:rPr>
          <w:sz w:val="20"/>
          <w:szCs w:val="20"/>
          <w:color w:val="auto"/>
        </w:rPr>
      </w:pPr>
    </w:p>
    <w:p>
      <w:pPr>
        <w:ind w:right="300" w:firstLine="450"/>
        <w:spacing w:after="0" w:line="286" w:lineRule="auto"/>
        <w:rPr>
          <w:sz w:val="20"/>
          <w:szCs w:val="20"/>
          <w:color w:val="auto"/>
        </w:rPr>
      </w:pPr>
      <w:r>
        <w:rPr>
          <w:rFonts w:ascii="Times New Roman" w:cs="Times New Roman" w:eastAsia="Times New Roman" w:hAnsi="Times New Roman"/>
          <w:sz w:val="19"/>
          <w:szCs w:val="19"/>
          <w:color w:val="auto"/>
        </w:rPr>
        <w:t>Comprehensive loss is defined as a change in equity during a period from transactions and other events and circumstances from non-owner sources. For the years ended December 31, 2025 and 2024, comprehensive loss consists of foreign currency translation adjustments and unrealized loss on available-for-sale securities net of tax.</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contract inception by assessing whether the arrangement contains an identified asset and whether the lessee has the right to control such asset. Lessees are required to classify leases as either finance or operating leases and to record a right-of-use (“ROU”)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For leases with a term greater than 12 months, the Company records the lease liability at the present value of lease payments over the term. The term of the Company’s leases equals the non-cancellable period of the lease, including any rent-free periods provided by the lessor, and also includes options to extend or terminate the lease that the Company is reasonably certain to exercise. The ROU asset equals the carrying amount of the related lease liability, adjusted for any lease payments made prior to lease commencement, any deferred rent upon adoption, and lease incentives provided by the lessor.</w:t>
      </w:r>
    </w:p>
    <w:p>
      <w:pPr>
        <w:spacing w:after="0" w:line="168"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The Company has elected, for all classes of underlying assets, not to recognize ROU assets and lease liabilities for leases with a term of 12 months or less. Lease cost for short-term leases is recognized on a straight-line basis over the lease term. The Company estimates its incremental borrowing rate based on the rate of interest that the Company would have to pay to borrow on a collateralized basis over a similar term, an amount equal to the lease payments in a similar economic environment.</w:t>
      </w:r>
    </w:p>
    <w:p>
      <w:pPr>
        <w:spacing w:after="0" w:line="16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Variable lease payments are expensed as incurred and do not factor into the measurement of the applicable ROU asset or lease liability. Lease payments may be fixed or variable; however, only fixed payments are included in the Company’s lease liability calculation. Lease costs for the Company’s operating leases are recognized on a straight-line basis within operating expenses over the lease term. The Company’s lease agreements may contain non-lease components such as common area maintenance, operating expenses or other costs, which are expensed as incurred for all classes of assets. The Company’s leases do not contain any residual value guarantees. See Note 8 for further information below.</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Adopted</w:t>
      </w:r>
    </w:p>
    <w:p>
      <w:pPr>
        <w:spacing w:after="0" w:line="219" w:lineRule="exact"/>
        <w:rPr>
          <w:sz w:val="20"/>
          <w:szCs w:val="20"/>
          <w:color w:val="auto"/>
        </w:rPr>
      </w:pPr>
    </w:p>
    <w:p>
      <w:pPr>
        <w:ind w:right="40" w:firstLine="450"/>
        <w:spacing w:after="0" w:line="272" w:lineRule="auto"/>
        <w:rPr>
          <w:sz w:val="20"/>
          <w:szCs w:val="20"/>
          <w:color w:val="auto"/>
        </w:rPr>
      </w:pPr>
      <w:r>
        <w:rPr>
          <w:rFonts w:ascii="Times New Roman" w:cs="Times New Roman" w:eastAsia="Times New Roman" w:hAnsi="Times New Roman"/>
          <w:sz w:val="19"/>
          <w:szCs w:val="19"/>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annual periods beginning after December 15, 2025, with early adoption permitted. The Company adopted ASU 2023-09 for the year ended December 31, 2025, and applied the new disclosure requirements prospectively. The adoption of this standard did not have a material impact on the Company's consolidated financial statements and disclosures. For additional information, see Note 12.</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Not Yet Adopted</w:t>
      </w:r>
    </w:p>
    <w:p>
      <w:pPr>
        <w:spacing w:after="0" w:line="219"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Statement-Reporting Comprehensive Income-Expense Disaggregation Disclosures (Subtopic 220-40). The amendments in this update require disclosure, in the notes to the consolidated financial statements, of specific expense categories present within expense captions presented on the face of the income statement within continuing operations of public business entities. The</w:t>
      </w:r>
    </w:p>
    <w:p>
      <w:pPr>
        <w:sectPr>
          <w:pgSz w:w="12240" w:h="15840" w:orient="portrait"/>
          <w:cols w:equalWidth="0" w:num="1">
            <w:col w:w="9360"/>
          </w:cols>
          <w:pgMar w:left="1440" w:top="1378" w:right="1440" w:bottom="1061" w:gutter="0" w:footer="0" w:header="0"/>
        </w:sectPr>
      </w:pPr>
    </w:p>
    <w:bookmarkStart w:id="95" w:name="page96"/>
    <w:bookmarkEnd w:id="95"/>
    <w:p>
      <w:pPr>
        <w:ind w:right="180"/>
        <w:spacing w:after="0" w:line="266" w:lineRule="auto"/>
        <w:rPr>
          <w:sz w:val="20"/>
          <w:szCs w:val="20"/>
          <w:color w:val="auto"/>
        </w:rPr>
      </w:pPr>
      <w:r>
        <w:rPr>
          <w:rFonts w:ascii="Times New Roman" w:cs="Times New Roman" w:eastAsia="Times New Roman" w:hAnsi="Times New Roman"/>
          <w:sz w:val="20"/>
          <w:szCs w:val="20"/>
          <w:color w:val="auto"/>
        </w:rPr>
        <w:t>amendments in this update are effective for annual periods beginning after December 15, 2026 and interim periods beginning after December 15, 2027. The Company is currently evaluating the impact of this ASU 2024-03 on its consolidated financial statements and related disclosures.</w:t>
      </w:r>
    </w:p>
    <w:p>
      <w:pPr>
        <w:spacing w:after="0" w:line="155" w:lineRule="exact"/>
        <w:rPr>
          <w:sz w:val="20"/>
          <w:szCs w:val="20"/>
          <w:color w:val="auto"/>
        </w:rPr>
      </w:pPr>
    </w:p>
    <w:p>
      <w:pPr>
        <w:ind w:right="80" w:firstLine="450"/>
        <w:spacing w:after="0" w:line="237" w:lineRule="auto"/>
        <w:rPr>
          <w:sz w:val="20"/>
          <w:szCs w:val="20"/>
          <w:color w:val="auto"/>
        </w:rPr>
      </w:pPr>
      <w:r>
        <w:rPr>
          <w:rFonts w:ascii="Times New Roman" w:cs="Times New Roman" w:eastAsia="Times New Roman" w:hAnsi="Times New Roman"/>
          <w:sz w:val="20"/>
          <w:szCs w:val="20"/>
          <w:color w:val="auto"/>
        </w:rPr>
        <w:t>In September 2025, the FASB issued ASU No. 2025-07, Derivatives and Hedging and Revenue from Contracts with Customers - Derivatives Scope Refinements and Scope Clarification for Share-Based Noncash Consideration from a Customer in a Revenue Contract (“ASC 2025-07”)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annual reporting periods. Early adoption is permitted. The Company does not expect adoption of ASU 2025-07 to have a material impact on its consolidated financial statements and related disclosures.</w:t>
      </w:r>
    </w:p>
    <w:p>
      <w:pPr>
        <w:spacing w:after="0" w:line="172"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A variety of proposed or otherwise potential accounting standards are currently being studied by standard-setting organizations and certain regulatory agencies. Because of the tentative and preliminary nature of such proposed standards, the Company has not yet determined the effect, if any, that the implementation of such proposed standards would have on the Company’s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Segment Reporting</w:t>
      </w:r>
    </w:p>
    <w:p>
      <w:pPr>
        <w:spacing w:after="0" w:line="217" w:lineRule="exact"/>
        <w:rPr>
          <w:sz w:val="20"/>
          <w:szCs w:val="20"/>
          <w:color w:val="auto"/>
        </w:rPr>
      </w:pPr>
    </w:p>
    <w:p>
      <w:pPr>
        <w:jc w:val="both"/>
        <w:ind w:right="100" w:firstLine="450"/>
        <w:spacing w:after="0" w:line="260" w:lineRule="auto"/>
        <w:rPr>
          <w:sz w:val="20"/>
          <w:szCs w:val="20"/>
          <w:color w:val="auto"/>
        </w:rPr>
      </w:pPr>
      <w:r>
        <w:rPr>
          <w:rFonts w:ascii="Times New Roman" w:cs="Times New Roman" w:eastAsia="Times New Roman" w:hAnsi="Times New Roman"/>
          <w:sz w:val="20"/>
          <w:szCs w:val="20"/>
          <w:color w:val="auto"/>
        </w:rPr>
        <w:t>The Company manages its business activities on a consolidated basis and has one reportable segment relating to the research and development of its novel therapies. The Chief Executive Officer, who serves as the Company’s chief operating decision maker (“CODM”), is responsible for the overall supervision, direction, and management of the business and its officers.</w:t>
      </w:r>
    </w:p>
    <w:p>
      <w:pPr>
        <w:spacing w:after="0" w:line="163" w:lineRule="exact"/>
        <w:rPr>
          <w:sz w:val="20"/>
          <w:szCs w:val="20"/>
          <w:color w:val="auto"/>
        </w:rPr>
      </w:pPr>
    </w:p>
    <w:p>
      <w:pPr>
        <w:ind w:right="80" w:firstLine="450"/>
        <w:spacing w:after="0" w:line="278" w:lineRule="auto"/>
        <w:rPr>
          <w:sz w:val="20"/>
          <w:szCs w:val="20"/>
          <w:color w:val="auto"/>
        </w:rPr>
      </w:pPr>
      <w:r>
        <w:rPr>
          <w:rFonts w:ascii="Times New Roman" w:cs="Times New Roman" w:eastAsia="Times New Roman" w:hAnsi="Times New Roman"/>
          <w:sz w:val="19"/>
          <w:szCs w:val="19"/>
          <w:color w:val="auto"/>
        </w:rPr>
        <w:t>The CODM reviews net loss, as reported in the consolidated statements of operations and comprehensive loss, as well as the progress of the Company’s program(s). The CODM does not review assets in evaluating the results of the segment, and therefore, such information is not presented. All long-lived assets owned by the Company are located the United States. The accounting policies of the segment are the same as those described in Note 2.</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is a summary of the segment loss, including significant segment expenses for the years</w:t>
      </w:r>
    </w:p>
    <w:p>
      <w:pPr>
        <w:sectPr>
          <w:pgSz w:w="12240" w:h="15840" w:orient="portrait"/>
          <w:cols w:equalWidth="0" w:num="1">
            <w:col w:w="9360"/>
          </w:cols>
          <w:pgMar w:left="1440" w:top="1378" w:right="1440"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ended December 31, 2025 and 2024 (in thousands):</w:t>
            </w:r>
          </w:p>
        </w:tc>
        <w:tc>
          <w:tcPr>
            <w:tcW w:w="160" w:type="dxa"/>
            <w:vAlign w:val="bottom"/>
          </w:tcPr>
          <w:p>
            <w:pPr>
              <w:spacing w:after="0"/>
              <w:rPr>
                <w:sz w:val="22"/>
                <w:szCs w:val="22"/>
                <w:color w:val="auto"/>
              </w:rPr>
            </w:pPr>
          </w:p>
        </w:tc>
      </w:tr>
      <w:tr>
        <w:trPr>
          <w:trHeight w:val="819"/>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In-process research and development </w:t>
            </w:r>
            <w:r>
              <w:rPr>
                <w:rFonts w:ascii="Times New Roman" w:cs="Times New Roman" w:eastAsia="Times New Roman" w:hAnsi="Times New Roman"/>
                <w:sz w:val="20"/>
                <w:szCs w:val="20"/>
                <w:color w:val="B4B4B4"/>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AXN-2510/IMM2510 </w:t>
            </w:r>
            <w:r>
              <w:rPr>
                <w:rFonts w:ascii="Times New Roman" w:cs="Times New Roman" w:eastAsia="Times New Roman" w:hAnsi="Times New Roman"/>
                <w:sz w:val="20"/>
                <w:szCs w:val="20"/>
                <w:color w:val="B4B4B4"/>
                <w:w w:val="99"/>
              </w:rPr>
              <w:t>............................................................................</w:t>
            </w:r>
          </w:p>
        </w:tc>
        <w:tc>
          <w:tcPr>
            <w:tcW w:w="160" w:type="dxa"/>
            <w:vAlign w:val="bottom"/>
          </w:tcPr>
          <w:p>
            <w:pPr>
              <w:spacing w:after="0"/>
              <w:rPr>
                <w:sz w:val="22"/>
                <w:szCs w:val="22"/>
                <w:color w:val="auto"/>
              </w:rPr>
            </w:pPr>
          </w:p>
        </w:tc>
      </w:tr>
      <w:tr>
        <w:trPr>
          <w:trHeight w:val="310"/>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Other program expenses</w:t>
            </w:r>
            <w:r>
              <w:rPr>
                <w:rFonts w:ascii="Times New Roman" w:cs="Times New Roman" w:eastAsia="Times New Roman" w:hAnsi="Times New Roman"/>
                <w:sz w:val="26"/>
                <w:szCs w:val="26"/>
                <w:color w:val="auto"/>
                <w:w w:val="98"/>
                <w:vertAlign w:val="superscript"/>
              </w:rPr>
              <w:t>(1) (2)</w:t>
            </w:r>
            <w:r>
              <w:rPr>
                <w:rFonts w:ascii="Times New Roman" w:cs="Times New Roman" w:eastAsia="Times New Roman" w:hAnsi="Times New Roman"/>
                <w:sz w:val="20"/>
                <w:szCs w:val="20"/>
                <w:color w:val="B4B4B4"/>
                <w:w w:val="98"/>
              </w:rPr>
              <w:t>..................................................................</w:t>
            </w:r>
          </w:p>
        </w:tc>
        <w:tc>
          <w:tcPr>
            <w:tcW w:w="160" w:type="dxa"/>
            <w:vAlign w:val="bottom"/>
          </w:tcPr>
          <w:p>
            <w:pPr>
              <w:spacing w:after="0"/>
              <w:rPr>
                <w:sz w:val="24"/>
                <w:szCs w:val="24"/>
                <w:color w:val="auto"/>
              </w:rPr>
            </w:pPr>
          </w:p>
        </w:tc>
      </w:tr>
      <w:tr>
        <w:trPr>
          <w:trHeight w:val="285"/>
        </w:trPr>
        <w:tc>
          <w:tcPr>
            <w:tcW w:w="570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auto"/>
                <w:w w:val="99"/>
              </w:rPr>
              <w:t>General and administrative</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260"/>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 xml:space="preserve">Restructuring charges </w:t>
            </w:r>
            <w:r>
              <w:rPr>
                <w:rFonts w:ascii="Times New Roman" w:cs="Times New Roman" w:eastAsia="Times New Roman" w:hAnsi="Times New Roman"/>
                <w:sz w:val="20"/>
                <w:szCs w:val="20"/>
                <w:color w:val="B4B4B4"/>
                <w:shd w:val="clear" w:color="auto" w:fill="CCEEFF"/>
              </w:rPr>
              <w:t>............................................................................</w:t>
            </w:r>
          </w:p>
        </w:tc>
        <w:tc>
          <w:tcPr>
            <w:tcW w:w="160" w:type="dxa"/>
            <w:vAlign w:val="bottom"/>
          </w:tcPr>
          <w:p>
            <w:pPr>
              <w:spacing w:after="0"/>
              <w:rPr>
                <w:sz w:val="22"/>
                <w:szCs w:val="22"/>
                <w:color w:val="auto"/>
              </w:rPr>
            </w:pPr>
          </w:p>
        </w:tc>
      </w:tr>
      <w:tr>
        <w:trPr>
          <w:trHeight w:val="285"/>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Depreciation </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285"/>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CCEEFF"/>
              </w:rPr>
              <w:t xml:space="preserve">Interest income </w:t>
            </w:r>
            <w:r>
              <w:rPr>
                <w:rFonts w:ascii="Times New Roman" w:cs="Times New Roman" w:eastAsia="Times New Roman" w:hAnsi="Times New Roman"/>
                <w:sz w:val="20"/>
                <w:szCs w:val="20"/>
                <w:color w:val="B4B4B4"/>
                <w:w w:val="99"/>
                <w:shd w:val="clear" w:color="auto" w:fill="CCEEFF"/>
              </w:rPr>
              <w:t>.......................................................................................</w:t>
            </w:r>
          </w:p>
        </w:tc>
        <w:tc>
          <w:tcPr>
            <w:tcW w:w="160" w:type="dxa"/>
            <w:vAlign w:val="bottom"/>
          </w:tcPr>
          <w:p>
            <w:pPr>
              <w:spacing w:after="0"/>
              <w:rPr>
                <w:sz w:val="24"/>
                <w:szCs w:val="24"/>
                <w:color w:val="auto"/>
              </w:rPr>
            </w:pPr>
          </w:p>
        </w:tc>
      </w:tr>
      <w:tr>
        <w:trPr>
          <w:trHeight w:val="285"/>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Other income, net </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336"/>
        </w:trPr>
        <w:tc>
          <w:tcPr>
            <w:tcW w:w="5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Segment net loss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9"/>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-1609725</wp:posOffset>
            </wp:positionV>
            <wp:extent cx="5969000" cy="206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59690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-1971675</wp:posOffset>
            </wp:positionV>
            <wp:extent cx="5969000" cy="206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59690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-523875</wp:posOffset>
            </wp:positionV>
            <wp:extent cx="5969000" cy="206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extLst>
                    </a:blip>
                    <a:srcRect/>
                    <a:stretch>
                      <a:fillRect/>
                    </a:stretch>
                  </pic:blipFill>
                  <pic:spPr bwMode="auto">
                    <a:xfrm>
                      <a:off x="0" y="0"/>
                      <a:ext cx="5969000" cy="206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-444500</wp:posOffset>
                </wp:positionH>
                <wp:positionV relativeFrom="paragraph">
                  <wp:posOffset>16510</wp:posOffset>
                </wp:positionV>
                <wp:extent cx="23241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pt,1.3pt" to="148pt,1.3pt" o:allowincell="f" strokecolor="#000000" strokeweight="1pt"/>
            </w:pict>
          </mc:Fallback>
        </mc:AlternateContent>
      </w:r>
    </w:p>
    <w:p>
      <w:pPr>
        <w:spacing w:after="0" w:line="1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10,000</w:t>
            </w:r>
          </w:p>
        </w:tc>
        <w:tc>
          <w:tcPr>
            <w:tcW w:w="6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8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20,351</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w:t>
            </w:r>
          </w:p>
        </w:tc>
      </w:tr>
      <w:tr>
        <w:trPr>
          <w:trHeight w:val="28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4,387</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9,901</w:t>
            </w:r>
          </w:p>
        </w:tc>
      </w:tr>
      <w:tr>
        <w:trPr>
          <w:trHeight w:val="28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26,687</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41,246</w:t>
            </w:r>
          </w:p>
        </w:tc>
      </w:tr>
      <w:tr>
        <w:trPr>
          <w:trHeight w:val="28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16,622</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7,493</w:t>
            </w:r>
          </w:p>
        </w:tc>
      </w:tr>
      <w:tr>
        <w:trPr>
          <w:trHeight w:val="28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534</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3,610</w:t>
            </w:r>
          </w:p>
        </w:tc>
      </w:tr>
      <w:tr>
        <w:trPr>
          <w:trHeight w:val="285"/>
        </w:trPr>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(3,858)</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(6,987)</w:t>
            </w:r>
          </w:p>
        </w:tc>
      </w:tr>
      <w:tr>
        <w:trPr>
          <w:trHeight w:val="28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5,829</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8,992</w:t>
            </w:r>
          </w:p>
        </w:tc>
      </w:tr>
      <w:tr>
        <w:trPr>
          <w:trHeight w:val="288"/>
        </w:trPr>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(9,180)</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(1,411)</w:t>
            </w:r>
          </w:p>
        </w:tc>
      </w:tr>
      <w:tr>
        <w:trPr>
          <w:trHeight w:val="275"/>
        </w:trPr>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71,372</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74,135</w:t>
            </w:r>
          </w:p>
        </w:tc>
      </w:tr>
      <w:tr>
        <w:trPr>
          <w:trHeight w:val="20"/>
        </w:trPr>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-1136015</wp:posOffset>
            </wp:positionV>
            <wp:extent cx="2349500" cy="206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extLst>
                    </a:blip>
                    <a:srcRect/>
                    <a:stretch>
                      <a:fillRect/>
                    </a:stretch>
                  </pic:blipFill>
                  <pic:spPr bwMode="auto">
                    <a:xfrm>
                      <a:off x="0" y="0"/>
                      <a:ext cx="2349500" cy="20637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-774065</wp:posOffset>
            </wp:positionV>
            <wp:extent cx="2349500" cy="206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a:extLst>
                        <a:ext uri="{28A0092B-C50C-407E-A947-70E740481C1C}"/>
                      </a:extLst>
                    </a:blip>
                    <a:srcRect/>
                    <a:stretch>
                      <a:fillRect/>
                    </a:stretch>
                  </pic:blipFill>
                  <pic:spPr bwMode="auto">
                    <a:xfrm>
                      <a:off x="0" y="0"/>
                      <a:ext cx="2349500" cy="20637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-56515</wp:posOffset>
            </wp:positionV>
            <wp:extent cx="2374900" cy="76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2374900" cy="76200"/>
                    </a:xfrm>
                    <a:prstGeom prst="rect">
                      <a:avLst/>
                    </a:prstGeom>
                    <a:noFill/>
                  </pic:spPr>
                </pic:pic>
              </a:graphicData>
            </a:graphic>
          </wp:anchor>
        </w:drawing>
      </w:r>
    </w:p>
    <w:p>
      <w:pPr>
        <w:spacing w:after="0" w:line="177" w:lineRule="exact"/>
        <w:rPr>
          <w:sz w:val="20"/>
          <w:szCs w:val="20"/>
          <w:color w:val="auto"/>
        </w:rPr>
      </w:pPr>
    </w:p>
    <w:p>
      <w:pPr>
        <w:sectPr>
          <w:pgSz w:w="12240" w:h="15840" w:orient="portrait"/>
          <w:cols w:equalWidth="0" w:num="2">
            <w:col w:w="5860" w:space="540"/>
            <w:col w:w="2960"/>
          </w:cols>
          <w:pgMar w:left="1440" w:top="1378" w:right="1440" w:bottom="1440" w:gutter="0" w:footer="0" w:header="0"/>
          <w:type w:val="continuous"/>
        </w:sectPr>
      </w:pPr>
    </w:p>
    <w:p>
      <w:pPr>
        <w:ind w:left="540" w:right="140" w:hanging="540"/>
        <w:spacing w:after="0" w:line="249" w:lineRule="auto"/>
        <w:tabs>
          <w:tab w:leader="none" w:pos="5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expense is removed from both “General and administrative” and “Other program expense” and is disclosed separately.</w:t>
      </w:r>
    </w:p>
    <w:p>
      <w:pPr>
        <w:ind w:left="540" w:right="520" w:hanging="540"/>
        <w:spacing w:after="0" w:line="261" w:lineRule="auto"/>
        <w:tabs>
          <w:tab w:leader="none" w:pos="5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program expenses consist of costs related to the Company’s past development of its CoStAR-TIL technology.</w:t>
      </w:r>
    </w:p>
    <w:p>
      <w:pPr>
        <w:sectPr>
          <w:pgSz w:w="12240" w:h="15840" w:orient="portrait"/>
          <w:cols w:equalWidth="0" w:num="1">
            <w:col w:w="9360"/>
          </w:cols>
          <w:pgMar w:left="1440" w:top="1378" w:right="1440"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4. Balance Sheet Components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Prepaid and other current assets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Prepaid and other current assets consisted of the following (in thousands):</w:t>
      </w:r>
    </w:p>
    <w:p>
      <w:pPr>
        <w:sectPr>
          <w:pgSz w:w="12240" w:h="15840" w:orient="portrait"/>
          <w:cols w:equalWidth="0" w:num="1">
            <w:col w:w="9360"/>
          </w:cols>
          <w:pgMar w:left="144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Prepaid general and administrative </w:t>
            </w:r>
            <w:r>
              <w:rPr>
                <w:rFonts w:ascii="Times New Roman" w:cs="Times New Roman" w:eastAsia="Times New Roman" w:hAnsi="Times New Roman"/>
                <w:sz w:val="20"/>
                <w:szCs w:val="20"/>
                <w:color w:val="B4B4B4"/>
                <w:w w:val="98"/>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Prepaid research and development </w:t>
            </w:r>
            <w:r>
              <w:rPr>
                <w:rFonts w:ascii="Times New Roman" w:cs="Times New Roman" w:eastAsia="Times New Roman" w:hAnsi="Times New Roman"/>
                <w:sz w:val="20"/>
                <w:szCs w:val="20"/>
                <w:color w:val="B4B4B4"/>
                <w:w w:val="99"/>
              </w:rPr>
              <w:t>........................................................</w:t>
            </w:r>
          </w:p>
        </w:tc>
        <w:tc>
          <w:tcPr>
            <w:tcW w:w="160" w:type="dxa"/>
            <w:vAlign w:val="bottom"/>
          </w:tcPr>
          <w:p>
            <w:pPr>
              <w:spacing w:after="0"/>
              <w:rPr>
                <w:sz w:val="22"/>
                <w:szCs w:val="22"/>
                <w:color w:val="auto"/>
              </w:rPr>
            </w:pPr>
          </w:p>
        </w:tc>
      </w:tr>
      <w:tr>
        <w:trPr>
          <w:trHeight w:val="28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Tax-related receivable</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28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Prepaid contract research organization expenses</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28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current assets </w:t>
            </w:r>
            <w:r>
              <w:rPr>
                <w:rFonts w:ascii="Times New Roman" w:cs="Times New Roman" w:eastAsia="Times New Roman" w:hAnsi="Times New Roman"/>
                <w:sz w:val="20"/>
                <w:szCs w:val="20"/>
                <w:color w:val="B4B4B4"/>
                <w:w w:val="98"/>
              </w:rPr>
              <w:t>................................................................................</w:t>
            </w:r>
          </w:p>
        </w:tc>
        <w:tc>
          <w:tcPr>
            <w:tcW w:w="160" w:type="dxa"/>
            <w:vAlign w:val="bottom"/>
          </w:tcPr>
          <w:p>
            <w:pPr>
              <w:spacing w:after="0"/>
              <w:rPr>
                <w:sz w:val="24"/>
                <w:szCs w:val="24"/>
                <w:color w:val="auto"/>
              </w:rPr>
            </w:pPr>
          </w:p>
        </w:tc>
      </w:tr>
      <w:tr>
        <w:trPr>
          <w:trHeight w:val="306"/>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prepaid and other current assets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5981700" cy="1136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-444500</wp:posOffset>
                </wp:positionH>
                <wp:positionV relativeFrom="paragraph">
                  <wp:posOffset>29845</wp:posOffset>
                </wp:positionV>
                <wp:extent cx="23241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pt,2.35pt" to="148pt,2.35pt" o:allowincell="f" strokecolor="#000000" strokeweight="1pt"/>
            </w:pict>
          </mc:Fallback>
        </mc:AlternateContent>
      </w:r>
    </w:p>
    <w:p>
      <w:pPr>
        <w:spacing w:after="0" w:line="3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59" w:lineRule="exact"/>
        <w:rPr>
          <w:sz w:val="20"/>
          <w:szCs w:val="20"/>
          <w:color w:val="auto"/>
        </w:rPr>
      </w:pPr>
    </w:p>
    <w:p>
      <w:pPr>
        <w:jc w:val="right"/>
        <w:ind w:right="80"/>
        <w:spacing w:after="0"/>
        <w:tabs>
          <w:tab w:leader="none" w:pos="1640" w:val="left"/>
          <w:tab w:leader="none" w:pos="440" w:val="left"/>
        </w:tabs>
        <w:rPr>
          <w:sz w:val="20"/>
          <w:szCs w:val="20"/>
          <w:color w:val="auto"/>
        </w:rPr>
      </w:pPr>
      <w:r>
        <w:rPr>
          <w:rFonts w:ascii="Times New Roman" w:cs="Times New Roman" w:eastAsia="Times New Roman" w:hAnsi="Times New Roman"/>
          <w:sz w:val="20"/>
          <w:szCs w:val="20"/>
          <w:color w:val="auto"/>
        </w:rPr>
        <w:t>1,170</w:t>
        <w:tab/>
        <w:t>$</w:t>
      </w:r>
      <w:r>
        <w:rPr>
          <w:sz w:val="20"/>
          <w:szCs w:val="20"/>
          <w:color w:val="auto"/>
        </w:rPr>
        <w:tab/>
      </w:r>
      <w:r>
        <w:rPr>
          <w:rFonts w:ascii="Times New Roman" w:cs="Times New Roman" w:eastAsia="Times New Roman" w:hAnsi="Times New Roman"/>
          <w:sz w:val="20"/>
          <w:szCs w:val="20"/>
          <w:color w:val="auto"/>
        </w:rPr>
        <w:t>1,316</w:t>
      </w:r>
    </w:p>
    <w:p>
      <w:pPr>
        <w:spacing w:after="0" w:line="55" w:lineRule="exact"/>
        <w:rPr>
          <w:sz w:val="20"/>
          <w:szCs w:val="20"/>
          <w:color w:val="auto"/>
        </w:rPr>
      </w:pPr>
    </w:p>
    <w:p>
      <w:pPr>
        <w:jc w:val="both"/>
        <w:ind w:left="720"/>
        <w:spacing w:after="0"/>
        <w:tabs>
          <w:tab w:leader="none" w:pos="2400" w:val="left"/>
        </w:tabs>
        <w:rPr>
          <w:sz w:val="20"/>
          <w:szCs w:val="20"/>
          <w:color w:val="auto"/>
        </w:rPr>
      </w:pPr>
      <w:r>
        <w:rPr>
          <w:rFonts w:ascii="Times New Roman" w:cs="Times New Roman" w:eastAsia="Times New Roman" w:hAnsi="Times New Roman"/>
          <w:sz w:val="20"/>
          <w:szCs w:val="20"/>
          <w:color w:val="auto"/>
        </w:rPr>
        <w:t>441</w:t>
      </w:r>
      <w:r>
        <w:rPr>
          <w:sz w:val="20"/>
          <w:szCs w:val="20"/>
          <w:color w:val="auto"/>
        </w:rPr>
        <w:tab/>
      </w:r>
      <w:r>
        <w:rPr>
          <w:rFonts w:ascii="Times New Roman" w:cs="Times New Roman" w:eastAsia="Times New Roman" w:hAnsi="Times New Roman"/>
          <w:sz w:val="20"/>
          <w:szCs w:val="20"/>
          <w:color w:val="auto"/>
        </w:rPr>
        <w:t>4,146</w:t>
      </w:r>
    </w:p>
    <w:p>
      <w:pPr>
        <w:spacing w:after="0" w:line="55" w:lineRule="exact"/>
        <w:rPr>
          <w:sz w:val="20"/>
          <w:szCs w:val="20"/>
          <w:color w:val="auto"/>
        </w:rPr>
      </w:pPr>
    </w:p>
    <w:p>
      <w:pPr>
        <w:jc w:val="both"/>
        <w:ind w:left="720"/>
        <w:spacing w:after="0"/>
        <w:tabs>
          <w:tab w:leader="none" w:pos="2400" w:val="left"/>
        </w:tabs>
        <w:rPr>
          <w:sz w:val="20"/>
          <w:szCs w:val="20"/>
          <w:color w:val="auto"/>
        </w:rPr>
      </w:pPr>
      <w:r>
        <w:rPr>
          <w:rFonts w:ascii="Times New Roman" w:cs="Times New Roman" w:eastAsia="Times New Roman" w:hAnsi="Times New Roman"/>
          <w:sz w:val="20"/>
          <w:szCs w:val="20"/>
          <w:color w:val="auto"/>
        </w:rPr>
        <w:t>848</w:t>
      </w:r>
      <w:r>
        <w:rPr>
          <w:sz w:val="20"/>
          <w:szCs w:val="20"/>
          <w:color w:val="auto"/>
        </w:rPr>
        <w:tab/>
      </w:r>
      <w:r>
        <w:rPr>
          <w:rFonts w:ascii="Times New Roman" w:cs="Times New Roman" w:eastAsia="Times New Roman" w:hAnsi="Times New Roman"/>
          <w:sz w:val="20"/>
          <w:szCs w:val="20"/>
          <w:color w:val="auto"/>
        </w:rPr>
        <w:t>2,622</w:t>
      </w:r>
    </w:p>
    <w:p>
      <w:pPr>
        <w:spacing w:after="0" w:line="55" w:lineRule="exact"/>
        <w:rPr>
          <w:sz w:val="20"/>
          <w:szCs w:val="20"/>
          <w:color w:val="auto"/>
        </w:rPr>
      </w:pPr>
    </w:p>
    <w:p>
      <w:pPr>
        <w:jc w:val="both"/>
        <w:ind w:left="720"/>
        <w:spacing w:after="0"/>
        <w:tabs>
          <w:tab w:leader="none" w:pos="2560" w:val="left"/>
        </w:tabs>
        <w:rPr>
          <w:sz w:val="20"/>
          <w:szCs w:val="20"/>
          <w:color w:val="auto"/>
        </w:rPr>
      </w:pPr>
      <w:r>
        <w:rPr>
          <w:rFonts w:ascii="Times New Roman" w:cs="Times New Roman" w:eastAsia="Times New Roman" w:hAnsi="Times New Roman"/>
          <w:sz w:val="20"/>
          <w:szCs w:val="20"/>
          <w:color w:val="auto"/>
        </w:rPr>
        <w:t>431</w:t>
      </w:r>
      <w:r>
        <w:rPr>
          <w:sz w:val="20"/>
          <w:szCs w:val="20"/>
          <w:color w:val="auto"/>
        </w:rPr>
        <w:tab/>
      </w:r>
      <w:r>
        <w:rPr>
          <w:rFonts w:ascii="Times New Roman" w:cs="Times New Roman" w:eastAsia="Times New Roman" w:hAnsi="Times New Roman"/>
          <w:sz w:val="20"/>
          <w:szCs w:val="20"/>
          <w:color w:val="auto"/>
        </w:rPr>
        <w:t>282</w:t>
      </w:r>
    </w:p>
    <w:p>
      <w:pPr>
        <w:spacing w:after="0" w:line="55" w:lineRule="exact"/>
        <w:rPr>
          <w:sz w:val="20"/>
          <w:szCs w:val="20"/>
          <w:color w:val="auto"/>
        </w:rPr>
      </w:pPr>
    </w:p>
    <w:p>
      <w:pPr>
        <w:jc w:val="both"/>
        <w:ind w:left="720"/>
        <w:spacing w:after="0"/>
        <w:tabs>
          <w:tab w:leader="none" w:pos="256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20"/>
          <w:szCs w:val="20"/>
          <w:color w:val="auto"/>
        </w:rPr>
        <w:t>959</w:t>
      </w:r>
    </w:p>
    <w:p>
      <w:pPr>
        <w:spacing w:after="0" w:line="55" w:lineRule="exact"/>
        <w:rPr>
          <w:sz w:val="20"/>
          <w:szCs w:val="20"/>
          <w:color w:val="auto"/>
        </w:rPr>
      </w:pPr>
    </w:p>
    <w:p>
      <w:pPr>
        <w:jc w:val="right"/>
        <w:ind w:right="80"/>
        <w:spacing w:after="0"/>
        <w:tabs>
          <w:tab w:leader="none" w:pos="1640" w:val="left"/>
          <w:tab w:leader="none" w:pos="440" w:val="left"/>
        </w:tabs>
        <w:rPr>
          <w:sz w:val="20"/>
          <w:szCs w:val="20"/>
          <w:color w:val="auto"/>
        </w:rPr>
      </w:pPr>
      <w:r>
        <w:rPr>
          <w:rFonts w:ascii="Times New Roman" w:cs="Times New Roman" w:eastAsia="Times New Roman" w:hAnsi="Times New Roman"/>
          <w:sz w:val="20"/>
          <w:szCs w:val="20"/>
          <w:color w:val="auto"/>
        </w:rPr>
        <w:t>3,038</w:t>
        <w:tab/>
        <w:t>$</w:t>
      </w:r>
      <w:r>
        <w:rPr>
          <w:sz w:val="20"/>
          <w:szCs w:val="20"/>
          <w:color w:val="auto"/>
        </w:rPr>
        <w:tab/>
      </w:r>
      <w:r>
        <w:rPr>
          <w:rFonts w:ascii="Times New Roman" w:cs="Times New Roman" w:eastAsia="Times New Roman" w:hAnsi="Times New Roman"/>
          <w:sz w:val="20"/>
          <w:szCs w:val="20"/>
          <w:color w:val="auto"/>
        </w:rPr>
        <w:t>9,325</w:t>
      </w:r>
    </w:p>
    <w:p>
      <w:pPr>
        <w:spacing w:after="0" w:line="192" w:lineRule="exact"/>
        <w:rPr>
          <w:sz w:val="20"/>
          <w:szCs w:val="20"/>
          <w:color w:val="auto"/>
        </w:rPr>
      </w:pPr>
    </w:p>
    <w:p>
      <w:pPr>
        <w:sectPr>
          <w:pgSz w:w="12240" w:h="15840" w:orient="portrait"/>
          <w:cols w:equalWidth="0" w:num="2">
            <w:col w:w="5860" w:space="540"/>
            <w:col w:w="2960"/>
          </w:cols>
          <w:pgMar w:left="1440" w:top="1371"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 Net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Property, plant and equipment, net consisted of the following (in thousands):</w:t>
      </w:r>
    </w:p>
    <w:p>
      <w:pPr>
        <w:spacing w:after="0" w:line="79"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3619500</wp:posOffset>
                </wp:positionH>
                <wp:positionV relativeFrom="paragraph">
                  <wp:posOffset>29845</wp:posOffset>
                </wp:positionV>
                <wp:extent cx="23241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2.35pt" to="468pt,2.35pt" o:allowincell="f" strokecolor="#000000" strokeweight="1pt"/>
            </w:pict>
          </mc:Fallback>
        </mc:AlternateContent>
      </w:r>
    </w:p>
    <w:p>
      <w:pPr>
        <w:sectPr>
          <w:pgSz w:w="12240" w:h="15840" w:orient="portrait"/>
          <w:cols w:equalWidth="0" w:num="1">
            <w:col w:w="9360"/>
          </w:cols>
          <w:pgMar w:left="1440" w:top="1371" w:right="1440" w:bottom="1440" w:gutter="0" w:footer="0" w:header="0"/>
          <w:type w:val="continuous"/>
        </w:sect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Land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5981700" cy="1136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Building </w:t>
      </w:r>
      <w:r>
        <w:rPr>
          <w:rFonts w:ascii="Times New Roman" w:cs="Times New Roman" w:eastAsia="Times New Roman" w:hAnsi="Times New Roman"/>
          <w:sz w:val="20"/>
          <w:szCs w:val="20"/>
          <w:color w:val="B4B4B4"/>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Office furniture and computer equipment </w:t>
      </w:r>
      <w:r>
        <w:rPr>
          <w:rFonts w:ascii="Times New Roman" w:cs="Times New Roman" w:eastAsia="Times New Roman" w:hAnsi="Times New Roman"/>
          <w:sz w:val="20"/>
          <w:szCs w:val="20"/>
          <w:color w:val="B4B4B4"/>
        </w:rPr>
        <w:t>.............................................</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Total property, plant and equipment, gross</w:t>
      </w:r>
      <w:r>
        <w:rPr>
          <w:rFonts w:ascii="Times New Roman" w:cs="Times New Roman" w:eastAsia="Times New Roman" w:hAnsi="Times New Roman"/>
          <w:sz w:val="20"/>
          <w:szCs w:val="20"/>
          <w:color w:val="B4B4B4"/>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Less: accumulated depreciation </w:t>
      </w:r>
      <w:r>
        <w:rPr>
          <w:rFonts w:ascii="Times New Roman" w:cs="Times New Roman" w:eastAsia="Times New Roman" w:hAnsi="Times New Roman"/>
          <w:sz w:val="20"/>
          <w:szCs w:val="20"/>
          <w:color w:val="B4B4B4"/>
        </w:rPr>
        <w:t>.............................................................</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Total property, plant and equipment, net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 xml:space="preserve"> $</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1160" w:type="dxa"/>
            <w:vAlign w:val="bottom"/>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158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31,243</w:t>
            </w:r>
          </w:p>
        </w:tc>
      </w:tr>
      <w:tr>
        <w:trPr>
          <w:trHeight w:val="285"/>
        </w:trPr>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102,433</w:t>
            </w:r>
          </w:p>
        </w:tc>
      </w:tr>
      <w:tr>
        <w:trPr>
          <w:trHeight w:val="288"/>
        </w:trPr>
        <w:tc>
          <w:tcPr>
            <w:tcW w:w="11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509</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w:t>
            </w:r>
          </w:p>
        </w:tc>
      </w:tr>
      <w:tr>
        <w:trPr>
          <w:trHeight w:val="262"/>
        </w:trPr>
        <w:tc>
          <w:tcPr>
            <w:tcW w:w="11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509</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134,185</w:t>
            </w:r>
          </w:p>
        </w:tc>
      </w:tr>
    </w:tbl>
    <w:p>
      <w:pPr>
        <w:spacing w:after="0" w:line="25" w:lineRule="exact"/>
        <w:rPr>
          <w:sz w:val="20"/>
          <w:szCs w:val="20"/>
          <w:color w:val="auto"/>
        </w:rPr>
      </w:pPr>
    </w:p>
    <w:p>
      <w:pPr>
        <w:ind w:left="2360" w:hanging="1708"/>
        <w:spacing w:after="0"/>
        <w:tabs>
          <w:tab w:leader="none" w:pos="23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(4,779)</w:t>
      </w:r>
    </w:p>
    <w:p>
      <w:pPr>
        <w:spacing w:after="0" w:line="55" w:lineRule="exact"/>
        <w:rPr>
          <w:sz w:val="20"/>
          <w:szCs w:val="20"/>
          <w:color w:val="auto"/>
        </w:rPr>
      </w:pPr>
    </w:p>
    <w:p>
      <w:pPr>
        <w:ind w:left="720"/>
        <w:spacing w:after="0"/>
        <w:tabs>
          <w:tab w:leader="none" w:pos="1200" w:val="left"/>
          <w:tab w:leader="none" w:pos="2200" w:val="left"/>
        </w:tabs>
        <w:rPr>
          <w:sz w:val="20"/>
          <w:szCs w:val="20"/>
          <w:color w:val="auto"/>
        </w:rPr>
      </w:pPr>
      <w:r>
        <w:rPr>
          <w:rFonts w:ascii="Times New Roman" w:cs="Times New Roman" w:eastAsia="Times New Roman" w:hAnsi="Times New Roman"/>
          <w:sz w:val="20"/>
          <w:szCs w:val="20"/>
          <w:color w:val="auto"/>
        </w:rPr>
        <w:t>126</w:t>
        <w:tab/>
        <w:t>$</w:t>
      </w:r>
      <w:r>
        <w:rPr>
          <w:sz w:val="20"/>
          <w:szCs w:val="20"/>
          <w:color w:val="auto"/>
        </w:rPr>
        <w:tab/>
      </w:r>
      <w:r>
        <w:rPr>
          <w:rFonts w:ascii="Times New Roman" w:cs="Times New Roman" w:eastAsia="Times New Roman" w:hAnsi="Times New Roman"/>
          <w:sz w:val="20"/>
          <w:szCs w:val="20"/>
          <w:color w:val="auto"/>
        </w:rPr>
        <w:t>129,406</w:t>
      </w:r>
    </w:p>
    <w:p>
      <w:pPr>
        <w:spacing w:after="0" w:line="200" w:lineRule="exact"/>
        <w:rPr>
          <w:sz w:val="20"/>
          <w:szCs w:val="20"/>
          <w:color w:val="auto"/>
        </w:rPr>
      </w:pPr>
    </w:p>
    <w:p>
      <w:pPr>
        <w:sectPr>
          <w:pgSz w:w="12240" w:h="15840" w:orient="portrait"/>
          <w:cols w:equalWidth="0" w:num="2">
            <w:col w:w="5860" w:space="540"/>
            <w:col w:w="2960"/>
          </w:cols>
          <w:pgMar w:left="1440" w:top="1371" w:right="1440" w:bottom="1440" w:gutter="0" w:footer="0" w:header="0"/>
          <w:type w:val="continuous"/>
        </w:sectPr>
      </w:pPr>
    </w:p>
    <w:p>
      <w:pPr>
        <w:spacing w:after="0" w:line="82" w:lineRule="exact"/>
        <w:rPr>
          <w:sz w:val="20"/>
          <w:szCs w:val="20"/>
          <w:color w:val="auto"/>
        </w:rPr>
      </w:pPr>
    </w:p>
    <w:p>
      <w:pPr>
        <w:ind w:right="400" w:firstLine="450"/>
        <w:spacing w:after="0" w:line="281" w:lineRule="auto"/>
        <w:rPr>
          <w:sz w:val="20"/>
          <w:szCs w:val="20"/>
          <w:color w:val="auto"/>
        </w:rPr>
      </w:pPr>
      <w:r>
        <w:rPr>
          <w:rFonts w:ascii="Times New Roman" w:cs="Times New Roman" w:eastAsia="Times New Roman" w:hAnsi="Times New Roman"/>
          <w:sz w:val="20"/>
          <w:szCs w:val="20"/>
          <w:color w:val="auto"/>
        </w:rPr>
        <w:t>Depreciation expense was $0.5 million and $3.6 million for the years ended December 31, 2025 and 2024, respectively, in the consolidated statements of operations and comprehensive loss.</w:t>
      </w:r>
    </w:p>
    <w:p>
      <w:pPr>
        <w:spacing w:after="0" w:line="141" w:lineRule="exact"/>
        <w:rPr>
          <w:sz w:val="20"/>
          <w:szCs w:val="20"/>
          <w:color w:val="auto"/>
        </w:rPr>
      </w:pPr>
    </w:p>
    <w:p>
      <w:pPr>
        <w:ind w:right="180" w:firstLine="450"/>
        <w:spacing w:after="0" w:line="253" w:lineRule="auto"/>
        <w:rPr>
          <w:sz w:val="20"/>
          <w:szCs w:val="20"/>
          <w:color w:val="auto"/>
        </w:rPr>
      </w:pPr>
      <w:r>
        <w:rPr>
          <w:rFonts w:ascii="Times New Roman" w:cs="Times New Roman" w:eastAsia="Times New Roman" w:hAnsi="Times New Roman"/>
          <w:sz w:val="20"/>
          <w:szCs w:val="20"/>
          <w:color w:val="auto"/>
        </w:rPr>
        <w:t>As of December 31, 2025, the Company had $112.1 million in assets related to the Tarzana facility on the consolidated balance sheet meeting the criteria of held for sale assets. These assets are recognized at the lower of cost or fair value less costs to sell. The Company estimates the fair value of the Tarzana facility through a combination of an income-based approach and a market-based approach. The income-based approach is dependent on specific assumptions such as market rental rates, capitalization rates and discount rates. The market-based approach utilizes observable data such as comparable building sales. The fair value of these assets are classified as Level 3 in the fair value hierarchy due to a mix of unobservable inputs utilized such as proprietary independent research in the market as well as actual quotes from market participants. The Company recognized impairment of $16.6 million and nil related to the Tarzana facility during the years ended December 31, 2025 and 2024, respectively.</w:t>
      </w:r>
    </w:p>
    <w:p>
      <w:pPr>
        <w:spacing w:after="0" w:line="176" w:lineRule="exact"/>
        <w:rPr>
          <w:sz w:val="20"/>
          <w:szCs w:val="20"/>
          <w:color w:val="auto"/>
        </w:rPr>
      </w:pPr>
    </w:p>
    <w:p>
      <w:pPr>
        <w:ind w:right="400" w:firstLine="450"/>
        <w:spacing w:after="0" w:line="281" w:lineRule="auto"/>
        <w:rPr>
          <w:sz w:val="20"/>
          <w:szCs w:val="20"/>
          <w:color w:val="auto"/>
        </w:rPr>
      </w:pPr>
      <w:r>
        <w:rPr>
          <w:rFonts w:ascii="Times New Roman" w:cs="Times New Roman" w:eastAsia="Times New Roman" w:hAnsi="Times New Roman"/>
          <w:sz w:val="20"/>
          <w:szCs w:val="20"/>
          <w:color w:val="auto"/>
        </w:rPr>
        <w:t>The Company recognized non-cash impairment charges of nil and $4.3 million related to United Kingdom equipment impairments during the years ended December 31, 2025 and 2024, respectively.</w:t>
      </w:r>
    </w:p>
    <w:p>
      <w:pPr>
        <w:sectPr>
          <w:pgSz w:w="12240" w:h="15840" w:orient="portrait"/>
          <w:cols w:equalWidth="0" w:num="1">
            <w:col w:w="9360"/>
          </w:cols>
          <w:pgMar w:left="1440" w:top="1371"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 and Other Current Liabilities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Accrued expenses and other current liabilities consisted of the following (in thousands):</w:t>
      </w:r>
    </w:p>
    <w:p>
      <w:pPr>
        <w:sectPr>
          <w:pgSz w:w="12240" w:h="15840" w:orient="portrait"/>
          <w:cols w:equalWidth="0" w:num="1">
            <w:col w:w="9360"/>
          </w:cols>
          <w:pgMar w:left="1440" w:top="1369" w:right="1440" w:bottom="10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Accrued compensation and benefits </w:t>
            </w:r>
            <w:r>
              <w:rPr>
                <w:rFonts w:ascii="Times New Roman" w:cs="Times New Roman" w:eastAsia="Times New Roman" w:hAnsi="Times New Roman"/>
                <w:sz w:val="20"/>
                <w:szCs w:val="20"/>
                <w:color w:val="B4B4B4"/>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Accrued operational expenses </w:t>
            </w:r>
            <w:r>
              <w:rPr>
                <w:rFonts w:ascii="Times New Roman" w:cs="Times New Roman" w:eastAsia="Times New Roman" w:hAnsi="Times New Roman"/>
                <w:sz w:val="20"/>
                <w:szCs w:val="20"/>
                <w:color w:val="B4B4B4"/>
                <w:w w:val="99"/>
              </w:rPr>
              <w:t>...............................................................</w:t>
            </w:r>
          </w:p>
        </w:tc>
        <w:tc>
          <w:tcPr>
            <w:tcW w:w="160" w:type="dxa"/>
            <w:vAlign w:val="bottom"/>
          </w:tcPr>
          <w:p>
            <w:pPr>
              <w:spacing w:after="0"/>
              <w:rPr>
                <w:sz w:val="22"/>
                <w:szCs w:val="22"/>
                <w:color w:val="auto"/>
              </w:rPr>
            </w:pPr>
          </w:p>
        </w:tc>
      </w:tr>
      <w:tr>
        <w:trPr>
          <w:trHeight w:val="28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Accrued restructuring costs </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28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Accrued research, development and clinical trial expenses</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285"/>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Operating lease liabilities, current </w:t>
            </w:r>
            <w:r>
              <w:rPr>
                <w:rFonts w:ascii="Times New Roman" w:cs="Times New Roman" w:eastAsia="Times New Roman" w:hAnsi="Times New Roman"/>
                <w:sz w:val="20"/>
                <w:szCs w:val="20"/>
                <w:color w:val="B4B4B4"/>
                <w:w w:val="99"/>
              </w:rPr>
              <w:t>.........................................................</w:t>
            </w:r>
          </w:p>
        </w:tc>
        <w:tc>
          <w:tcPr>
            <w:tcW w:w="160" w:type="dxa"/>
            <w:vAlign w:val="bottom"/>
          </w:tcPr>
          <w:p>
            <w:pPr>
              <w:spacing w:after="0"/>
              <w:rPr>
                <w:sz w:val="24"/>
                <w:szCs w:val="24"/>
                <w:color w:val="auto"/>
              </w:rPr>
            </w:pPr>
          </w:p>
        </w:tc>
      </w:tr>
      <w:tr>
        <w:trPr>
          <w:trHeight w:val="306"/>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accrued expenses and other current liabilities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5981700" cy="1136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-444500</wp:posOffset>
                </wp:positionH>
                <wp:positionV relativeFrom="paragraph">
                  <wp:posOffset>29845</wp:posOffset>
                </wp:positionV>
                <wp:extent cx="23241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pt,2.35pt" to="148pt,2.35pt" o:allowincell="f" strokecolor="#000000" strokeweight="1pt"/>
            </w:pict>
          </mc:Fallback>
        </mc:AlternateContent>
      </w:r>
    </w:p>
    <w:p>
      <w:pPr>
        <w:spacing w:after="0" w:line="3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59" w:lineRule="exact"/>
        <w:rPr>
          <w:sz w:val="20"/>
          <w:szCs w:val="20"/>
          <w:color w:val="auto"/>
        </w:rPr>
      </w:pPr>
    </w:p>
    <w:p>
      <w:pPr>
        <w:jc w:val="right"/>
        <w:ind w:right="80"/>
        <w:spacing w:after="0"/>
        <w:tabs>
          <w:tab w:leader="none" w:pos="1640" w:val="left"/>
          <w:tab w:leader="none" w:pos="440" w:val="left"/>
        </w:tabs>
        <w:rPr>
          <w:sz w:val="20"/>
          <w:szCs w:val="20"/>
          <w:color w:val="auto"/>
        </w:rPr>
      </w:pPr>
      <w:r>
        <w:rPr>
          <w:rFonts w:ascii="Times New Roman" w:cs="Times New Roman" w:eastAsia="Times New Roman" w:hAnsi="Times New Roman"/>
          <w:sz w:val="20"/>
          <w:szCs w:val="20"/>
          <w:color w:val="auto"/>
        </w:rPr>
        <w:t>2,517</w:t>
        <w:tab/>
        <w:t>$</w:t>
      </w:r>
      <w:r>
        <w:rPr>
          <w:sz w:val="20"/>
          <w:szCs w:val="20"/>
          <w:color w:val="auto"/>
        </w:rPr>
        <w:tab/>
      </w:r>
      <w:r>
        <w:rPr>
          <w:rFonts w:ascii="Times New Roman" w:cs="Times New Roman" w:eastAsia="Times New Roman" w:hAnsi="Times New Roman"/>
          <w:sz w:val="20"/>
          <w:szCs w:val="20"/>
          <w:color w:val="auto"/>
        </w:rPr>
        <w:t>2,691</w:t>
      </w:r>
    </w:p>
    <w:p>
      <w:pPr>
        <w:spacing w:after="0" w:line="55" w:lineRule="exact"/>
        <w:rPr>
          <w:sz w:val="20"/>
          <w:szCs w:val="20"/>
          <w:color w:val="auto"/>
        </w:rPr>
      </w:pPr>
    </w:p>
    <w:p>
      <w:pPr>
        <w:jc w:val="both"/>
        <w:ind w:left="820"/>
        <w:spacing w:after="0"/>
        <w:tabs>
          <w:tab w:leader="none" w:pos="25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582</w:t>
      </w:r>
    </w:p>
    <w:p>
      <w:pPr>
        <w:spacing w:after="0" w:line="55" w:lineRule="exact"/>
        <w:rPr>
          <w:sz w:val="20"/>
          <w:szCs w:val="20"/>
          <w:color w:val="auto"/>
        </w:rPr>
      </w:pPr>
    </w:p>
    <w:p>
      <w:pPr>
        <w:jc w:val="both"/>
        <w:ind w:left="720"/>
        <w:spacing w:after="0"/>
        <w:tabs>
          <w:tab w:leader="none" w:pos="240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20"/>
          <w:szCs w:val="20"/>
          <w:color w:val="auto"/>
        </w:rPr>
        <w:t>2,073</w:t>
      </w:r>
    </w:p>
    <w:p>
      <w:pPr>
        <w:spacing w:after="0" w:line="55" w:lineRule="exact"/>
        <w:rPr>
          <w:sz w:val="20"/>
          <w:szCs w:val="20"/>
          <w:color w:val="auto"/>
        </w:rPr>
      </w:pPr>
    </w:p>
    <w:p>
      <w:pPr>
        <w:jc w:val="both"/>
        <w:ind w:left="720"/>
        <w:spacing w:after="0"/>
        <w:tabs>
          <w:tab w:leader="none" w:pos="2560" w:val="left"/>
        </w:tabs>
        <w:rPr>
          <w:sz w:val="20"/>
          <w:szCs w:val="20"/>
          <w:color w:val="auto"/>
        </w:rPr>
      </w:pPr>
      <w:r>
        <w:rPr>
          <w:rFonts w:ascii="Times New Roman" w:cs="Times New Roman" w:eastAsia="Times New Roman" w:hAnsi="Times New Roman"/>
          <w:sz w:val="20"/>
          <w:szCs w:val="20"/>
          <w:color w:val="auto"/>
        </w:rPr>
        <w:t>977</w:t>
      </w:r>
      <w:r>
        <w:rPr>
          <w:sz w:val="20"/>
          <w:szCs w:val="20"/>
          <w:color w:val="auto"/>
        </w:rPr>
        <w:tab/>
      </w:r>
      <w:r>
        <w:rPr>
          <w:rFonts w:ascii="Times New Roman" w:cs="Times New Roman" w:eastAsia="Times New Roman" w:hAnsi="Times New Roman"/>
          <w:sz w:val="20"/>
          <w:szCs w:val="20"/>
          <w:color w:val="auto"/>
        </w:rPr>
        <w:t>209</w:t>
      </w:r>
    </w:p>
    <w:p>
      <w:pPr>
        <w:spacing w:after="0" w:line="55" w:lineRule="exact"/>
        <w:rPr>
          <w:sz w:val="20"/>
          <w:szCs w:val="20"/>
          <w:color w:val="auto"/>
        </w:rPr>
      </w:pPr>
    </w:p>
    <w:p>
      <w:pPr>
        <w:jc w:val="both"/>
        <w:ind w:left="720"/>
        <w:spacing w:after="0"/>
        <w:tabs>
          <w:tab w:leader="none" w:pos="2400" w:val="left"/>
        </w:tabs>
        <w:rPr>
          <w:sz w:val="20"/>
          <w:szCs w:val="20"/>
          <w:color w:val="auto"/>
        </w:rPr>
      </w:pPr>
      <w:r>
        <w:rPr>
          <w:rFonts w:ascii="Times New Roman" w:cs="Times New Roman" w:eastAsia="Times New Roman" w:hAnsi="Times New Roman"/>
          <w:sz w:val="20"/>
          <w:szCs w:val="20"/>
          <w:color w:val="auto"/>
        </w:rPr>
        <w:t>372</w:t>
      </w:r>
      <w:r>
        <w:rPr>
          <w:sz w:val="20"/>
          <w:szCs w:val="20"/>
          <w:color w:val="auto"/>
        </w:rPr>
        <w:tab/>
      </w:r>
      <w:r>
        <w:rPr>
          <w:rFonts w:ascii="Times New Roman" w:cs="Times New Roman" w:eastAsia="Times New Roman" w:hAnsi="Times New Roman"/>
          <w:sz w:val="20"/>
          <w:szCs w:val="20"/>
          <w:color w:val="auto"/>
        </w:rPr>
        <w:t>1,682</w:t>
      </w:r>
    </w:p>
    <w:p>
      <w:pPr>
        <w:spacing w:after="0" w:line="55" w:lineRule="exact"/>
        <w:rPr>
          <w:sz w:val="20"/>
          <w:szCs w:val="20"/>
          <w:color w:val="auto"/>
        </w:rPr>
      </w:pPr>
    </w:p>
    <w:p>
      <w:pPr>
        <w:jc w:val="right"/>
        <w:ind w:right="80"/>
        <w:spacing w:after="0"/>
        <w:tabs>
          <w:tab w:leader="none" w:pos="1640" w:val="left"/>
          <w:tab w:leader="none" w:pos="440" w:val="left"/>
        </w:tabs>
        <w:rPr>
          <w:sz w:val="20"/>
          <w:szCs w:val="20"/>
          <w:color w:val="auto"/>
        </w:rPr>
      </w:pPr>
      <w:r>
        <w:rPr>
          <w:rFonts w:ascii="Times New Roman" w:cs="Times New Roman" w:eastAsia="Times New Roman" w:hAnsi="Times New Roman"/>
          <w:sz w:val="20"/>
          <w:szCs w:val="20"/>
          <w:color w:val="auto"/>
        </w:rPr>
        <w:t>4,064</w:t>
        <w:tab/>
        <w:t>$</w:t>
      </w:r>
      <w:r>
        <w:rPr>
          <w:sz w:val="20"/>
          <w:szCs w:val="20"/>
          <w:color w:val="auto"/>
        </w:rPr>
        <w:tab/>
      </w:r>
      <w:r>
        <w:rPr>
          <w:rFonts w:ascii="Times New Roman" w:cs="Times New Roman" w:eastAsia="Times New Roman" w:hAnsi="Times New Roman"/>
          <w:sz w:val="20"/>
          <w:szCs w:val="20"/>
          <w:color w:val="auto"/>
        </w:rPr>
        <w:t>7,237</w:t>
      </w:r>
    </w:p>
    <w:p>
      <w:pPr>
        <w:spacing w:after="0" w:line="230" w:lineRule="exact"/>
        <w:rPr>
          <w:sz w:val="20"/>
          <w:szCs w:val="20"/>
          <w:color w:val="auto"/>
        </w:rPr>
      </w:pPr>
    </w:p>
    <w:p>
      <w:pPr>
        <w:sectPr>
          <w:pgSz w:w="12240" w:h="15840" w:orient="portrait"/>
          <w:cols w:equalWidth="0" w:num="2">
            <w:col w:w="5860" w:space="540"/>
            <w:col w:w="2960"/>
          </w:cols>
          <w:pgMar w:left="1440" w:top="1369" w:right="1440" w:bottom="1056" w:gutter="0" w:footer="0" w:header="0"/>
          <w:type w:val="continuous"/>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w:t>
      </w:r>
    </w:p>
    <w:p>
      <w:pPr>
        <w:spacing w:after="0" w:line="217"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20"/>
          <w:szCs w:val="20"/>
          <w:color w:val="auto"/>
        </w:rPr>
        <w:t>The fair value of cash and cash equivalents approximates carrying value since cash and cash equivalents consist of short-term highly liquid investments with maturities of less than three months at the time of purchase. Cash and cash equivalents are valued based upon quoted market prices in active markets for identical assets and are therefore classified as Level 1 assets. Money market funds are open-end mutual funds that invest in cash, government securities, and/or repurchase agreements that are collateralized fully. To the extent that these funds are valued based upon the reported net asset value, they are categorized in Level 1 of the fair value hierarchy.</w:t>
      </w:r>
    </w:p>
    <w:p>
      <w:pPr>
        <w:spacing w:after="0" w:line="168"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20"/>
          <w:szCs w:val="20"/>
          <w:color w:val="auto"/>
        </w:rPr>
        <w:t>Short-term marketable securities consisted of U.S. Treasury bills that are classified within Level 2 of the fair value hierarchy are valued based on other observable inputs, including broker or dealer quotations, alternative pricing sources or U.S. Government Treasury yield of appropriate term.</w:t>
      </w:r>
    </w:p>
    <w:p>
      <w:pPr>
        <w:spacing w:after="0" w:line="155" w:lineRule="exact"/>
        <w:rPr>
          <w:sz w:val="20"/>
          <w:szCs w:val="20"/>
          <w:color w:val="auto"/>
        </w:rPr>
      </w:pPr>
    </w:p>
    <w:p>
      <w:pPr>
        <w:ind w:right="14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tables provide information by level for assets and liabilities that are measured at fair value on a recurring and nonrecurring basis: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65"/>
        </w:trPr>
        <w:tc>
          <w:tcPr>
            <w:tcW w:w="3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4"/>
        </w:trPr>
        <w:tc>
          <w:tcPr>
            <w:tcW w:w="3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3"/>
        </w:trPr>
        <w:tc>
          <w:tcPr>
            <w:tcW w:w="3120" w:type="dxa"/>
            <w:vAlign w:val="bottom"/>
          </w:tcPr>
          <w:p>
            <w:pPr>
              <w:jc w:val="right"/>
              <w:ind w:right="1640"/>
              <w:spacing w:after="0"/>
              <w:rPr>
                <w:sz w:val="20"/>
                <w:szCs w:val="20"/>
                <w:color w:val="auto"/>
              </w:rPr>
            </w:pPr>
            <w:r>
              <w:rPr>
                <w:rFonts w:ascii="Times New Roman" w:cs="Times New Roman" w:eastAsia="Times New Roman" w:hAnsi="Times New Roman"/>
                <w:sz w:val="20"/>
                <w:szCs w:val="20"/>
                <w:b w:val="1"/>
                <w:bCs w:val="1"/>
                <w:color w:val="auto"/>
                <w:w w:val="98"/>
              </w:rPr>
              <w:t>Financial Assets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xml:space="preserve">Money market funds </w:t>
            </w:r>
            <w:r>
              <w:rPr>
                <w:rFonts w:ascii="Times New Roman" w:cs="Times New Roman" w:eastAsia="Times New Roman" w:hAnsi="Times New Roman"/>
                <w:sz w:val="20"/>
                <w:szCs w:val="20"/>
                <w:color w:val="B4B4B4"/>
                <w:w w:val="97"/>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4,339</w:t>
            </w:r>
          </w:p>
        </w:tc>
      </w:tr>
      <w:tr>
        <w:trPr>
          <w:trHeight w:val="288"/>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xml:space="preserve">U.S. Treasury bills </w:t>
            </w:r>
            <w:r>
              <w:rPr>
                <w:rFonts w:ascii="Times New Roman" w:cs="Times New Roman" w:eastAsia="Times New Roman" w:hAnsi="Times New Roman"/>
                <w:sz w:val="20"/>
                <w:szCs w:val="20"/>
                <w:color w:val="B4B4B4"/>
                <w:w w:val="97"/>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69,491</w:t>
            </w:r>
          </w:p>
        </w:tc>
        <w:tc>
          <w:tcPr>
            <w:tcW w:w="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69,491</w:t>
            </w:r>
          </w:p>
        </w:tc>
      </w:tr>
      <w:tr>
        <w:trPr>
          <w:trHeight w:val="245"/>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4B4B4"/>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69,491</w:t>
            </w: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73,830</w:t>
            </w:r>
          </w:p>
        </w:tc>
      </w:tr>
      <w:tr>
        <w:trPr>
          <w:trHeight w:val="20"/>
        </w:trPr>
        <w:tc>
          <w:tcPr>
            <w:tcW w:w="3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5981700" cy="774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a:extLst>
                        <a:ext uri="{28A0092B-C50C-407E-A947-70E740481C1C}"/>
                      </a:extLst>
                    </a:blip>
                    <a:srcRect/>
                    <a:stretch>
                      <a:fillRect/>
                    </a:stretch>
                  </pic:blipFill>
                  <pic:spPr bwMode="auto">
                    <a:xfrm>
                      <a:off x="0" y="0"/>
                      <a:ext cx="5981700" cy="774700"/>
                    </a:xfrm>
                    <a:prstGeom prst="rect">
                      <a:avLst/>
                    </a:prstGeom>
                    <a:noFill/>
                  </pic:spPr>
                </pic:pic>
              </a:graphicData>
            </a:graphic>
          </wp:anchor>
        </w:drawing>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4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4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Money market funds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w:t>
            </w:r>
          </w:p>
        </w:tc>
        <w:tc>
          <w:tcPr>
            <w:tcW w:w="0" w:type="dxa"/>
            <w:vAlign w:val="bottom"/>
          </w:tcPr>
          <w:p>
            <w:pPr>
              <w:spacing w:after="0"/>
              <w:rPr>
                <w:sz w:val="1"/>
                <w:szCs w:val="1"/>
                <w:color w:val="auto"/>
              </w:rPr>
            </w:pPr>
          </w:p>
        </w:tc>
      </w:tr>
      <w:tr>
        <w:trPr>
          <w:trHeight w:val="28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U.S. Treasury bills </w:t>
            </w:r>
            <w:r>
              <w:rPr>
                <w:rFonts w:ascii="Times New Roman" w:cs="Times New Roman" w:eastAsia="Times New Roman" w:hAnsi="Times New Roman"/>
                <w:sz w:val="20"/>
                <w:szCs w:val="20"/>
                <w:color w:val="B4B4B4"/>
                <w:w w:val="99"/>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104,510</w:t>
            </w: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104,510</w:t>
            </w:r>
          </w:p>
        </w:tc>
        <w:tc>
          <w:tcPr>
            <w:tcW w:w="0" w:type="dxa"/>
            <w:vAlign w:val="bottom"/>
          </w:tcPr>
          <w:p>
            <w:pPr>
              <w:spacing w:after="0"/>
              <w:rPr>
                <w:sz w:val="1"/>
                <w:szCs w:val="1"/>
                <w:color w:val="auto"/>
              </w:rPr>
            </w:pPr>
          </w:p>
        </w:tc>
      </w:tr>
      <w:tr>
        <w:trPr>
          <w:trHeight w:val="245"/>
        </w:trPr>
        <w:tc>
          <w:tcPr>
            <w:tcW w:w="312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104,510</w:t>
            </w:r>
          </w:p>
        </w:tc>
        <w:tc>
          <w:tcPr>
            <w:tcW w:w="114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110,142</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1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Contingent consideration </w:t>
            </w:r>
            <w:r>
              <w:rPr>
                <w:rFonts w:ascii="Times New Roman" w:cs="Times New Roman" w:eastAsia="Times New Roman" w:hAnsi="Times New Roman"/>
                <w:sz w:val="20"/>
                <w:szCs w:val="20"/>
                <w:color w:val="B4B4B4"/>
                <w:w w:val="99"/>
              </w:rPr>
              <w:t>.....................</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5981700" cy="1136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188"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There were no transfers in or out of Level 1, 2 and 3 measurements for the years ended December 31, 2025 and 2024. As of December 31, 2025 and 2024, there were no securities within Level 3 of the fair value hierarchy. As of December 31, 2024, the contingent consideration was within Level 3 of the fair value hierarchy.</w:t>
      </w:r>
    </w:p>
    <w:p>
      <w:pPr>
        <w:sectPr>
          <w:pgSz w:w="12240" w:h="15840" w:orient="portrait"/>
          <w:cols w:equalWidth="0" w:num="1">
            <w:col w:w="9360"/>
          </w:cols>
          <w:pgMar w:left="1440" w:top="1369" w:right="1440" w:bottom="1056" w:gutter="0" w:footer="0" w:header="0"/>
          <w:type w:val="continuous"/>
        </w:sectPr>
      </w:pPr>
    </w:p>
    <w:bookmarkStart w:id="98" w:name="page99"/>
    <w:bookmarkEnd w:id="98"/>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As of December 31, 2025 and 2024, the fair value of the 2024 Loan (as defined in Note 8) was $85.5 million and $84.7 million, respectively. The fair value was determined on the basis of its net present value and is considered Level 2 in the fair value hierarchy.</w:t>
      </w:r>
    </w:p>
    <w:p>
      <w:pPr>
        <w:spacing w:after="0" w:line="155"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a summary of the changes in the fair value of the Company’s Level 3 financial liabilities (in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Level 3 Financial</w:t>
            </w:r>
          </w:p>
        </w:tc>
      </w:tr>
      <w:tr>
        <w:trPr>
          <w:trHeight w:val="267"/>
        </w:trPr>
        <w:tc>
          <w:tcPr>
            <w:tcW w:w="7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Liabilities</w:t>
            </w:r>
          </w:p>
        </w:tc>
      </w:tr>
      <w:tr>
        <w:trPr>
          <w:trHeight w:val="262"/>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Fair value, beginning balance as of December 31, 2023</w:t>
            </w:r>
            <w:r>
              <w:rPr>
                <w:rFonts w:ascii="Times New Roman" w:cs="Times New Roman" w:eastAsia="Times New Roman" w:hAnsi="Times New Roman"/>
                <w:sz w:val="20"/>
                <w:szCs w:val="20"/>
                <w:color w:val="B4B4B4"/>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4,858</w:t>
            </w:r>
          </w:p>
        </w:tc>
      </w:tr>
      <w:tr>
        <w:trPr>
          <w:trHeight w:val="288"/>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(3,910)</w:t>
            </w:r>
          </w:p>
        </w:tc>
      </w:tr>
      <w:tr>
        <w:trPr>
          <w:trHeight w:val="262"/>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Fair value, ending balance as of December 31, 2024 </w:t>
            </w:r>
            <w:r>
              <w:rPr>
                <w:rFonts w:ascii="Times New Roman" w:cs="Times New Roman" w:eastAsia="Times New Roman" w:hAnsi="Times New Roman"/>
                <w:sz w:val="20"/>
                <w:szCs w:val="20"/>
                <w:color w:val="B4B4B4"/>
                <w:w w:val="98"/>
              </w:rPr>
              <w:t>............................................................</w:t>
            </w:r>
          </w:p>
        </w:tc>
        <w:tc>
          <w:tcPr>
            <w:tcW w:w="22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r>
      <w:tr>
        <w:trPr>
          <w:trHeight w:val="288"/>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(948)</w:t>
            </w:r>
          </w:p>
        </w:tc>
      </w:tr>
      <w:tr>
        <w:trPr>
          <w:trHeight w:val="245"/>
        </w:trPr>
        <w:tc>
          <w:tcPr>
            <w:tcW w:w="7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Fair value, ending balance as of December 31, 2025 </w:t>
            </w:r>
            <w:r>
              <w:rPr>
                <w:rFonts w:ascii="Times New Roman" w:cs="Times New Roman" w:eastAsia="Times New Roman" w:hAnsi="Times New Roman"/>
                <w:sz w:val="20"/>
                <w:szCs w:val="20"/>
                <w:color w:val="B4B4B4"/>
                <w:w w:val="9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81700" cy="955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extLst>
                    </a:blip>
                    <a:srcRect/>
                    <a:stretch>
                      <a:fillRect/>
                    </a:stretch>
                  </pic:blipFill>
                  <pic:spPr bwMode="auto">
                    <a:xfrm>
                      <a:off x="0" y="0"/>
                      <a:ext cx="5981700" cy="955675"/>
                    </a:xfrm>
                    <a:prstGeom prst="rect">
                      <a:avLst/>
                    </a:prstGeom>
                    <a:noFill/>
                  </pic:spPr>
                </pic:pic>
              </a:graphicData>
            </a:graphic>
          </wp:anchor>
        </w:drawing>
      </w:r>
    </w:p>
    <w:p>
      <w:pPr>
        <w:spacing w:after="0" w:line="18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The Company’s acquisition of Immetacyte involved the potential for the payment of future contingent consideration upon the achievement of (i) certain product development milestones including, approval of studies and commencement and completion of certain product trials, or (ii) various other performance conditions including, receipt of final approval for the first marketing authorization and first commercial sale in certain geographical markets.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research and development expense in the consolidated statements of operations and comprehensive loss.</w:t>
      </w:r>
    </w:p>
    <w:p>
      <w:pPr>
        <w:spacing w:after="0" w:line="173"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During the year of acquisition, the Company determined the fair value of the contingent consideration by probability weighting scenarios of milestone achievements to determine the expected future contingent consideration payment, discounted to present value using an 8% discount rate based on the Company’s pre-tax cost of debt on the acquisition date. The probability of payments was 0% and 5% as of December 31, 2025 and 2024, respectively. Determinations of the likelihood of milestone achievements, which trigger payouts related to the contingent consideration, as well as the probabilities for various scenarios used in the Company’s calculations, were based on internal unobservable projections.</w:t>
      </w:r>
    </w:p>
    <w:p>
      <w:pPr>
        <w:spacing w:after="0" w:line="170"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20"/>
          <w:szCs w:val="20"/>
          <w:color w:val="auto"/>
        </w:rPr>
        <w:t>During the years ended December 31, 2025 and 2024, the change in fair value related to the contingent consideration was due to the discontinuation of the ITIL-306-202 development program, the change in present value for the passage of time, as well as expected dates and probabilities of milestone achievement revisions.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Financial Instruments</w:t>
      </w:r>
    </w:p>
    <w:p>
      <w:pPr>
        <w:spacing w:after="0" w:line="217" w:lineRule="exact"/>
        <w:rPr>
          <w:sz w:val="20"/>
          <w:szCs w:val="20"/>
          <w:color w:val="auto"/>
        </w:rPr>
      </w:pPr>
    </w:p>
    <w:p>
      <w:pPr>
        <w:ind w:right="760" w:firstLine="450"/>
        <w:spacing w:after="0" w:line="281" w:lineRule="auto"/>
        <w:rPr>
          <w:sz w:val="20"/>
          <w:szCs w:val="20"/>
          <w:color w:val="auto"/>
        </w:rPr>
      </w:pPr>
      <w:r>
        <w:rPr>
          <w:rFonts w:ascii="Times New Roman" w:cs="Times New Roman" w:eastAsia="Times New Roman" w:hAnsi="Times New Roman"/>
          <w:sz w:val="20"/>
          <w:szCs w:val="20"/>
          <w:color w:val="auto"/>
        </w:rPr>
        <w:t>Marketable securities classified as available-for-sale on December 31, 2025 and 2024 consisted of the following (in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1900" w:type="dxa"/>
            <w:vAlign w:val="bottom"/>
          </w:tcPr>
          <w:p>
            <w:pPr>
              <w:spacing w:after="0"/>
              <w:rPr>
                <w:sz w:val="23"/>
                <w:szCs w:val="23"/>
                <w:color w:val="auto"/>
              </w:rPr>
            </w:pPr>
          </w:p>
        </w:tc>
        <w:tc>
          <w:tcPr>
            <w:tcW w:w="2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38"/>
        </w:trPr>
        <w:tc>
          <w:tcPr>
            <w:tcW w:w="1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jc w:val="center"/>
              <w:ind w:left="24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0"/>
        </w:trPr>
        <w:tc>
          <w:tcPr>
            <w:tcW w:w="1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Amortized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7"/>
        </w:trPr>
        <w:tc>
          <w:tcPr>
            <w:tcW w:w="1900" w:type="dxa"/>
            <w:vAlign w:val="bottom"/>
          </w:tcPr>
          <w:p>
            <w:pPr>
              <w:spacing w:after="0"/>
              <w:rPr>
                <w:sz w:val="23"/>
                <w:szCs w:val="23"/>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Maturity</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7"/>
              </w:rPr>
              <w:t>Cost</w:t>
            </w:r>
          </w:p>
        </w:tc>
        <w:tc>
          <w:tcPr>
            <w:tcW w:w="9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20"/>
                <w:szCs w:val="20"/>
                <w:b w:val="1"/>
                <w:bCs w:val="1"/>
                <w:color w:val="auto"/>
                <w:w w:val="99"/>
              </w:rPr>
              <w:t>Gains</w:t>
            </w: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92"/>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bills</w:t>
            </w:r>
            <w:r>
              <w:rPr>
                <w:rFonts w:ascii="Times New Roman" w:cs="Times New Roman" w:eastAsia="Times New Roman" w:hAnsi="Times New Roman"/>
                <w:sz w:val="20"/>
                <w:szCs w:val="20"/>
                <w:color w:val="B4B4B4"/>
              </w:rPr>
              <w:t>.......</w:t>
            </w:r>
          </w:p>
        </w:tc>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 xml:space="preserve">Less than one year </w:t>
            </w:r>
            <w:r>
              <w:rPr>
                <w:rFonts w:ascii="Times New Roman" w:cs="Times New Roman" w:eastAsia="Times New Roman" w:hAnsi="Times New Roman"/>
                <w:sz w:val="20"/>
                <w:szCs w:val="20"/>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69,439</w:t>
            </w:r>
          </w:p>
        </w:tc>
        <w:tc>
          <w:tcPr>
            <w:tcW w:w="92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69,491</w:t>
            </w:r>
          </w:p>
        </w:tc>
      </w:tr>
      <w:tr>
        <w:trPr>
          <w:trHeight w:val="588"/>
        </w:trPr>
        <w:tc>
          <w:tcPr>
            <w:tcW w:w="190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8"/>
        </w:trPr>
        <w:tc>
          <w:tcPr>
            <w:tcW w:w="1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jc w:val="center"/>
              <w:ind w:left="24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0"/>
        </w:trPr>
        <w:tc>
          <w:tcPr>
            <w:tcW w:w="1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Amortized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7"/>
        </w:trPr>
        <w:tc>
          <w:tcPr>
            <w:tcW w:w="1900" w:type="dxa"/>
            <w:vAlign w:val="bottom"/>
          </w:tcPr>
          <w:p>
            <w:pPr>
              <w:spacing w:after="0"/>
              <w:rPr>
                <w:sz w:val="23"/>
                <w:szCs w:val="23"/>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Maturity</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7"/>
              </w:rPr>
              <w:t>Cost</w:t>
            </w:r>
          </w:p>
        </w:tc>
        <w:tc>
          <w:tcPr>
            <w:tcW w:w="9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20"/>
                <w:szCs w:val="20"/>
                <w:b w:val="1"/>
                <w:bCs w:val="1"/>
                <w:color w:val="auto"/>
                <w:w w:val="99"/>
              </w:rPr>
              <w:t>Gains</w:t>
            </w: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92"/>
        </w:trPr>
        <w:tc>
          <w:tcPr>
            <w:tcW w:w="19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bills</w:t>
            </w:r>
            <w:r>
              <w:rPr>
                <w:rFonts w:ascii="Times New Roman" w:cs="Times New Roman" w:eastAsia="Times New Roman" w:hAnsi="Times New Roman"/>
                <w:sz w:val="20"/>
                <w:szCs w:val="20"/>
                <w:color w:val="B4B4B4"/>
              </w:rPr>
              <w:t>.......</w:t>
            </w:r>
          </w:p>
        </w:tc>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 xml:space="preserve">Less than one year </w:t>
            </w:r>
            <w:r>
              <w:rPr>
                <w:rFonts w:ascii="Times New Roman" w:cs="Times New Roman" w:eastAsia="Times New Roman" w:hAnsi="Times New Roman"/>
                <w:sz w:val="20"/>
                <w:szCs w:val="20"/>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104,445</w:t>
            </w:r>
          </w:p>
        </w:tc>
        <w:tc>
          <w:tcPr>
            <w:tcW w:w="920" w:type="dxa"/>
            <w:vAlign w:val="bottom"/>
          </w:tcPr>
          <w:p>
            <w:pPr>
              <w:jc w:val="right"/>
              <w:ind w:right="66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99</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-1261110</wp:posOffset>
            </wp:positionV>
            <wp:extent cx="5969000" cy="225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extLst>
                    </a:blip>
                    <a:srcRect/>
                    <a:stretch>
                      <a:fillRect/>
                    </a:stretch>
                  </pic:blipFill>
                  <pic:spPr bwMode="auto">
                    <a:xfrm>
                      <a:off x="0" y="0"/>
                      <a:ext cx="59690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-203835</wp:posOffset>
            </wp:positionV>
            <wp:extent cx="5969000" cy="225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extLst>
                        <a:ext uri="{28A0092B-C50C-407E-A947-70E740481C1C}"/>
                      </a:extLst>
                    </a:blip>
                    <a:srcRect/>
                    <a:stretch>
                      <a:fillRect/>
                    </a:stretch>
                  </pic:blipFill>
                  <pic:spPr bwMode="auto">
                    <a:xfrm>
                      <a:off x="0" y="0"/>
                      <a:ext cx="5969000" cy="225425"/>
                    </a:xfrm>
                    <a:prstGeom prst="rect">
                      <a:avLst/>
                    </a:prstGeom>
                    <a:noFill/>
                  </pic:spPr>
                </pic:pic>
              </a:graphicData>
            </a:graphic>
          </wp:anchor>
        </w:drawing>
      </w:r>
    </w:p>
    <w:p>
      <w:pPr>
        <w:sectPr>
          <w:pgSz w:w="12240" w:h="15840" w:orient="portrait"/>
          <w:cols w:equalWidth="0" w:num="1">
            <w:col w:w="9360"/>
          </w:cols>
          <w:pgMar w:left="1440" w:top="1378"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20"/>
          <w:szCs w:val="20"/>
          <w:color w:val="auto"/>
        </w:rPr>
        <w:t>As of December 31, 2025 and 2024, marketable securities that had contractual maturities less than one year 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classified as current because management considers these marketable securities to be available for current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 The Company does not intend to sell its marketable securities and it is not likely that the Company will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required to sell these securities before recovery of their amortized cost basis. There were $69.5 million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$104.5 million of marketable securities classified as available-for-sale as of December 31, 2025 and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respectively.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License and Collaboration Agreement with ImmuneOnco</w:t>
      </w:r>
    </w:p>
    <w:p>
      <w:pPr>
        <w:spacing w:after="0" w:line="217"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On August 1, 2024, Axion Bio entered into the license and collaboration agreement with ImmuneOnco (the “IO Collaboration Agreement”). As part of this agreement, Axion Bio made a $10.0 million upfront payment to ImmuneOnco during the year ended December 31, 2024. This amount was fully expensed as in-process research and development (IPR&amp;D) in the same year.</w:t>
      </w:r>
    </w:p>
    <w:p>
      <w:pPr>
        <w:spacing w:after="0" w:line="163" w:lineRule="exact"/>
        <w:rPr>
          <w:sz w:val="20"/>
          <w:szCs w:val="20"/>
          <w:color w:val="auto"/>
        </w:rPr>
      </w:pPr>
    </w:p>
    <w:p>
      <w:pPr>
        <w:ind w:right="300" w:firstLine="45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Axion Bio made a $5.0 million prepayment to ImmuneOnco for development costs, which was fully expensed in research and development as of March 31, 2025. A second</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$5.0 million prepayment for development costs was made to ImmuneOnco in April 2025, which was fully expensed in research and development as of September 30, 2025. A third $5.0 million prepayment to ImmuneOnco for development costs was made in August 2025. This amount was partially expensed under research and development, with a remaining prepaid balance of $0.3 million recorded as of December 31, 2025.</w:t>
      </w:r>
    </w:p>
    <w:p>
      <w:pPr>
        <w:spacing w:after="0" w:line="170"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20"/>
          <w:szCs w:val="20"/>
          <w:color w:val="auto"/>
        </w:rPr>
        <w:t>In June 2025, Axion Bio achieved Investigational New Drug (IND) clearance in the United States for a Phase 1 trial of AXN-2510 in relapsed/refractory solid tumors. This milestone triggered a $10.0 million development payment to ImmuneOnco, which was paid in July 2025. This amount was fully expensed as IPR&amp;D during the second quarter of 2025.</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expenses recognized in connection with the IO Collaboration Agreement were $23.8 million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million for the year ended December 31, 2025 and 2024, respectively, and were recorded as a component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 on the consolidated statements of operations and comprehensive loss.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no additional milestones had been accrued as the underlying contingencies had not yet been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resolved.</w:t>
      </w:r>
    </w:p>
    <w:p>
      <w:pPr>
        <w:spacing w:after="0" w:line="19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Under the IO Collaboration Agreement, ImmuneOnco was eligible to receive additional potential near-term payments of up to $15.0 million, up to $2.1 billion in commercial, development and regulatory milestones (including up to $270.0 million in longer term development and regulatory milestones and up to $1.8 billion in commercial milestones) plus single-digit to low double-digit percentage royalties on global net sales of the licensed products outside of Greater China. On January 5, 2026, Axion Bio and ImmuneOnco entered into an agreement terminating the IO Collaboration Agreement. Under the termination agreement, Axion Bio agreed to transfer the rights, title, and interest related to AXN-2510 and AXN-27M to ImmuneOnco, and ImmuneOnco agreed to pay Axion Bio $1.8 million.</w:t>
      </w:r>
    </w:p>
    <w:p>
      <w:pPr>
        <w:spacing w:after="0" w:line="326" w:lineRule="exact"/>
        <w:rPr>
          <w:sz w:val="20"/>
          <w:szCs w:val="20"/>
          <w:color w:val="auto"/>
        </w:rPr>
      </w:pPr>
    </w:p>
    <w:p>
      <w:pPr>
        <w:ind w:left="460" w:right="6320" w:hanging="460"/>
        <w:spacing w:after="0" w:line="459" w:lineRule="auto"/>
        <w:tabs>
          <w:tab w:leader="none" w:pos="21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Leases</w:t>
      </w:r>
    </w:p>
    <w:p>
      <w:pPr>
        <w:ind w:left="11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as a Lessee: Operating Lease Obligations</w:t>
      </w:r>
    </w:p>
    <w:p>
      <w:pPr>
        <w:spacing w:after="0" w:line="217" w:lineRule="exact"/>
        <w:rPr>
          <w:sz w:val="20"/>
          <w:szCs w:val="20"/>
          <w:color w:val="auto"/>
        </w:rPr>
      </w:pPr>
    </w:p>
    <w:p>
      <w:pPr>
        <w:ind w:right="40" w:firstLine="450"/>
        <w:spacing w:after="0" w:line="275" w:lineRule="auto"/>
        <w:rPr>
          <w:sz w:val="20"/>
          <w:szCs w:val="20"/>
          <w:color w:val="auto"/>
        </w:rPr>
      </w:pPr>
      <w:r>
        <w:rPr>
          <w:rFonts w:ascii="Times New Roman" w:cs="Times New Roman" w:eastAsia="Times New Roman" w:hAnsi="Times New Roman"/>
          <w:sz w:val="19"/>
          <w:szCs w:val="19"/>
          <w:color w:val="auto"/>
        </w:rPr>
        <w:t>The Company currently leases office spaces and laboratory spaces located in Dallas, Texas and Alderley Park in the United Kingdom. During April 2025, the Company terminated its prior lease in Thousand Oaks, California. The Company’s leased facilities have original lease terms ranging from 2 to 5 years that in general require the Company to provide a security deposit. Certain leases provide the right for the Company to renew the lease upon the expiration of the initial lease term, and various leases have scheduled rent increases on an annual basis. The exercise</w:t>
      </w:r>
    </w:p>
    <w:p>
      <w:pPr>
        <w:sectPr>
          <w:pgSz w:w="12240" w:h="15840" w:orient="portrait"/>
          <w:cols w:equalWidth="0" w:num="1">
            <w:col w:w="9360"/>
          </w:cols>
          <w:pgMar w:left="1440" w:top="1378" w:right="1440" w:bottom="1440" w:gutter="0" w:footer="0" w:header="0"/>
        </w:sectPr>
      </w:pPr>
    </w:p>
    <w:bookmarkStart w:id="100" w:name="page101"/>
    <w:bookmarkEnd w:id="100"/>
    <w:p>
      <w:pPr>
        <w:ind w:right="180"/>
        <w:spacing w:after="0" w:line="281" w:lineRule="auto"/>
        <w:rPr>
          <w:sz w:val="20"/>
          <w:szCs w:val="20"/>
          <w:color w:val="auto"/>
        </w:rPr>
      </w:pPr>
      <w:r>
        <w:rPr>
          <w:rFonts w:ascii="Times New Roman" w:cs="Times New Roman" w:eastAsia="Times New Roman" w:hAnsi="Times New Roman"/>
          <w:sz w:val="20"/>
          <w:szCs w:val="20"/>
          <w:color w:val="auto"/>
        </w:rPr>
        <w:t>of lease renewal options for the Company’s existing leases is at the Company’s sole discretion, and not included in the measurement of right-of-use asset or lease liability as they are not reasonably certain to be exercised.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Company’s lease costs consisted of the following (in thousands):</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500" w:type="dxa"/>
            <w:vAlign w:val="bottom"/>
          </w:tcPr>
          <w:p>
            <w:pPr>
              <w:spacing w:after="0"/>
              <w:rPr>
                <w:sz w:val="23"/>
                <w:szCs w:val="23"/>
                <w:color w:val="auto"/>
              </w:rPr>
            </w:pPr>
          </w:p>
        </w:tc>
        <w:tc>
          <w:tcPr>
            <w:tcW w:w="3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40" w:type="dxa"/>
            <w:vAlign w:val="bottom"/>
            <w:tcBorders>
              <w:bottom w:val="single" w:sz="8" w:color="auto"/>
            </w:tcBorders>
          </w:tcPr>
          <w:p>
            <w:pPr>
              <w:spacing w:after="0"/>
              <w:rPr>
                <w:sz w:val="23"/>
                <w:szCs w:val="23"/>
                <w:color w:val="auto"/>
              </w:rPr>
            </w:pPr>
          </w:p>
        </w:tc>
      </w:tr>
      <w:tr>
        <w:trPr>
          <w:trHeight w:val="265"/>
        </w:trPr>
        <w:tc>
          <w:tcPr>
            <w:tcW w:w="5500" w:type="dxa"/>
            <w:vAlign w:val="bottom"/>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40" w:type="dxa"/>
            <w:vAlign w:val="bottom"/>
            <w:tcBorders>
              <w:bottom w:val="single" w:sz="8" w:color="auto"/>
            </w:tcBorders>
          </w:tcPr>
          <w:p>
            <w:pPr>
              <w:spacing w:after="0"/>
              <w:rPr>
                <w:sz w:val="23"/>
                <w:szCs w:val="23"/>
                <w:color w:val="auto"/>
              </w:rPr>
            </w:pPr>
          </w:p>
        </w:tc>
      </w:tr>
      <w:tr>
        <w:trPr>
          <w:trHeight w:val="262"/>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Operatingleasecost</w:t>
            </w:r>
          </w:p>
        </w:tc>
        <w:tc>
          <w:tcPr>
            <w:tcW w:w="126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128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r>
      <w:tr>
        <w:trPr>
          <w:trHeight w:val="288"/>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Variable lease cost </w:t>
            </w:r>
            <w:r>
              <w:rPr>
                <w:rFonts w:ascii="Times New Roman" w:cs="Times New Roman" w:eastAsia="Times New Roman" w:hAnsi="Times New Roman"/>
                <w:sz w:val="20"/>
                <w:szCs w:val="20"/>
                <w:color w:val="B4B4B4"/>
                <w:w w:val="99"/>
              </w:rPr>
              <w:t>..............................................................................</w:t>
            </w:r>
          </w:p>
        </w:tc>
        <w:tc>
          <w:tcPr>
            <w:tcW w:w="1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w:t>
            </w:r>
          </w:p>
        </w:tc>
      </w:tr>
      <w:tr>
        <w:trPr>
          <w:trHeight w:val="245"/>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Totalleasecost</w:t>
            </w:r>
          </w:p>
        </w:tc>
        <w:tc>
          <w:tcPr>
            <w:tcW w:w="12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2,259</w:t>
            </w:r>
          </w:p>
        </w:tc>
        <w:tc>
          <w:tcPr>
            <w:tcW w:w="128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2,116</w:t>
            </w:r>
          </w:p>
        </w:tc>
      </w:tr>
      <w:tr>
        <w:trPr>
          <w:trHeight w:val="20"/>
        </w:trPr>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88" w:lineRule="exact"/>
        <w:rPr>
          <w:sz w:val="20"/>
          <w:szCs w:val="20"/>
          <w:color w:val="auto"/>
        </w:rPr>
      </w:pPr>
    </w:p>
    <w:p>
      <w:pPr>
        <w:ind w:right="80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summarizes cash flow information related to the Company’s lease obligations (in thousands):</w:t>
      </w:r>
    </w:p>
    <w:p>
      <w:pPr>
        <w:spacing w:after="0" w:line="1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3533775</wp:posOffset>
                </wp:positionH>
                <wp:positionV relativeFrom="paragraph">
                  <wp:posOffset>29845</wp:posOffset>
                </wp:positionV>
                <wp:extent cx="240982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9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25pt,2.35pt" to="468pt,2.35pt" o:allowincell="f" strokecolor="#000000" strokeweight="1pt"/>
            </w:pict>
          </mc:Fallback>
        </mc:AlternateContent>
      </w:r>
    </w:p>
    <w:p>
      <w:pPr>
        <w:spacing w:after="0" w:line="35" w:lineRule="exact"/>
        <w:rPr>
          <w:sz w:val="20"/>
          <w:szCs w:val="20"/>
          <w:color w:val="auto"/>
        </w:rPr>
      </w:pPr>
    </w:p>
    <w:p>
      <w:pPr>
        <w:ind w:left="6320"/>
        <w:spacing w:after="0"/>
        <w:tabs>
          <w:tab w:leader="none" w:pos="82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59690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extLst>
                    </a:blip>
                    <a:srcRect/>
                    <a:stretch>
                      <a:fillRect/>
                    </a:stretch>
                  </pic:blipFill>
                  <pic:spPr bwMode="auto">
                    <a:xfrm>
                      <a:off x="0" y="0"/>
                      <a:ext cx="5969000" cy="206375"/>
                    </a:xfrm>
                    <a:prstGeom prst="rect">
                      <a:avLst/>
                    </a:prstGeom>
                    <a:noFill/>
                  </pic:spPr>
                </pic:pic>
              </a:graphicData>
            </a:graphic>
          </wp:anchor>
        </w:drawing>
      </w:r>
    </w:p>
    <w:p>
      <w:pPr>
        <w:spacing w:after="0" w:line="18" w:lineRule="exact"/>
        <w:rPr>
          <w:sz w:val="20"/>
          <w:szCs w:val="20"/>
          <w:color w:val="auto"/>
        </w:rPr>
      </w:pPr>
    </w:p>
    <w:p>
      <w:pPr>
        <w:ind w:left="60"/>
        <w:spacing w:after="0"/>
        <w:tabs>
          <w:tab w:leader="none" w:pos="6920" w:val="left"/>
          <w:tab w:leader="none" w:pos="8800" w:val="left"/>
        </w:tabs>
        <w:rPr>
          <w:sz w:val="20"/>
          <w:szCs w:val="20"/>
          <w:color w:val="auto"/>
        </w:rPr>
      </w:pPr>
      <w:r>
        <w:rPr>
          <w:rFonts w:ascii="Times New Roman" w:cs="Times New Roman" w:eastAsia="Times New Roman" w:hAnsi="Times New Roman"/>
          <w:sz w:val="20"/>
          <w:szCs w:val="20"/>
          <w:color w:val="auto"/>
        </w:rPr>
        <w:t xml:space="preserve">Cash paid for operating lease liabilities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1,545  $</w:t>
      </w:r>
      <w:r>
        <w:rPr>
          <w:sz w:val="20"/>
          <w:szCs w:val="20"/>
          <w:color w:val="auto"/>
        </w:rPr>
        <w:tab/>
      </w:r>
      <w:r>
        <w:rPr>
          <w:rFonts w:ascii="Times New Roman" w:cs="Times New Roman" w:eastAsia="Times New Roman" w:hAnsi="Times New Roman"/>
          <w:sz w:val="20"/>
          <w:szCs w:val="20"/>
          <w:color w:val="auto"/>
        </w:rPr>
        <w:t>2,279</w:t>
      </w: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summarizes the Company’s lease assets and liabilities (in thousands):</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5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40" w:type="dxa"/>
            <w:vAlign w:val="bottom"/>
            <w:tcBorders>
              <w:bottom w:val="single" w:sz="8" w:color="auto"/>
            </w:tcBorders>
          </w:tcPr>
          <w:p>
            <w:pPr>
              <w:spacing w:after="0"/>
              <w:rPr>
                <w:sz w:val="23"/>
                <w:szCs w:val="23"/>
                <w:color w:val="auto"/>
              </w:rPr>
            </w:pPr>
          </w:p>
        </w:tc>
      </w:tr>
      <w:tr>
        <w:trPr>
          <w:trHeight w:val="265"/>
        </w:trPr>
        <w:tc>
          <w:tcPr>
            <w:tcW w:w="550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Operatingleaseright-of-useassets</w:t>
            </w:r>
          </w:p>
        </w:tc>
        <w:tc>
          <w:tcPr>
            <w:tcW w:w="122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w:t>
            </w:r>
          </w:p>
        </w:tc>
      </w:tr>
      <w:tr>
        <w:trPr>
          <w:trHeight w:val="285"/>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Current operating lease liabilities </w:t>
            </w:r>
            <w:r>
              <w:rPr>
                <w:rFonts w:ascii="Times New Roman" w:cs="Times New Roman" w:eastAsia="Times New Roman" w:hAnsi="Times New Roman"/>
                <w:sz w:val="20"/>
                <w:szCs w:val="20"/>
                <w:color w:val="B4B4B4"/>
                <w:w w:val="99"/>
              </w:rPr>
              <w:t>.......................................................</w:t>
            </w:r>
          </w:p>
        </w:tc>
        <w:tc>
          <w:tcPr>
            <w:tcW w:w="122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1,682</w:t>
            </w:r>
          </w:p>
        </w:tc>
      </w:tr>
      <w:tr>
        <w:trPr>
          <w:trHeight w:val="285"/>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Non-current operating lease liabilities </w:t>
            </w:r>
            <w:r>
              <w:rPr>
                <w:rFonts w:ascii="Times New Roman" w:cs="Times New Roman" w:eastAsia="Times New Roman" w:hAnsi="Times New Roman"/>
                <w:sz w:val="20"/>
                <w:szCs w:val="20"/>
                <w:color w:val="B4B4B4"/>
                <w:w w:val="98"/>
              </w:rPr>
              <w:t>................................................</w:t>
            </w:r>
          </w:p>
        </w:tc>
        <w:tc>
          <w:tcPr>
            <w:tcW w:w="122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5969000" cy="568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following table summarizes other supplemental information related to the Company’s lease obligations:</w:t>
      </w:r>
    </w:p>
    <w:p>
      <w:pPr>
        <w:spacing w:after="0" w:line="8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3524250</wp:posOffset>
                </wp:positionH>
                <wp:positionV relativeFrom="paragraph">
                  <wp:posOffset>29845</wp:posOffset>
                </wp:positionV>
                <wp:extent cx="24193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pt,2.35pt" to="468pt,2.35pt" o:allowincell="f" strokecolor="#000000" strokeweight="1pt"/>
            </w:pict>
          </mc:Fallback>
        </mc:AlternateConten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40" w:type="dxa"/>
            <w:vAlign w:val="bottom"/>
          </w:tcPr>
          <w:p>
            <w:pPr>
              <w:spacing w:after="0"/>
              <w:rPr>
                <w:sz w:val="23"/>
                <w:szCs w:val="23"/>
                <w:color w:val="auto"/>
              </w:rPr>
            </w:pPr>
          </w:p>
        </w:tc>
        <w:tc>
          <w:tcPr>
            <w:tcW w:w="1540" w:type="dxa"/>
            <w:vAlign w:val="bottom"/>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Weighted-averageremainingleaseterm(inyears)</w:t>
            </w:r>
          </w:p>
        </w:tc>
        <w:tc>
          <w:tcPr>
            <w:tcW w:w="1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color w:val="auto"/>
              </w:rPr>
              <w:t>0.70</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85"/>
        </w:trPr>
        <w:tc>
          <w:tcPr>
            <w:tcW w:w="6720" w:type="dxa"/>
            <w:vAlign w:val="bottom"/>
            <w:gridSpan w:val="2"/>
          </w:tcPr>
          <w:p>
            <w:pPr>
              <w:jc w:val="right"/>
              <w:ind w:right="1280"/>
              <w:spacing w:after="0"/>
              <w:rPr>
                <w:sz w:val="20"/>
                <w:szCs w:val="20"/>
                <w:color w:val="auto"/>
              </w:rPr>
            </w:pPr>
            <w:r>
              <w:rPr>
                <w:rFonts w:ascii="Times New Roman" w:cs="Times New Roman" w:eastAsia="Times New Roman" w:hAnsi="Times New Roman"/>
                <w:sz w:val="20"/>
                <w:szCs w:val="20"/>
                <w:color w:val="auto"/>
                <w:w w:val="99"/>
              </w:rPr>
              <w:t>Weighted-average discount rate</w:t>
            </w:r>
            <w:r>
              <w:rPr>
                <w:rFonts w:ascii="Times New Roman" w:cs="Times New Roman" w:eastAsia="Times New Roman" w:hAnsi="Times New Roman"/>
                <w:sz w:val="20"/>
                <w:szCs w:val="20"/>
                <w:color w:val="B4B4B4"/>
                <w:w w:val="99"/>
              </w:rPr>
              <w:t>..........................................................</w:t>
            </w:r>
          </w:p>
        </w:tc>
        <w:tc>
          <w:tcPr>
            <w:tcW w:w="10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6.75 %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5969000" cy="387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extLst>
                    </a:blip>
                    <a:srcRect/>
                    <a:stretch>
                      <a:fillRect/>
                    </a:stretch>
                  </pic:blipFill>
                  <pic:spPr bwMode="auto">
                    <a:xfrm>
                      <a:off x="0" y="0"/>
                      <a:ext cx="5969000" cy="387350"/>
                    </a:xfrm>
                    <a:prstGeom prst="rect">
                      <a:avLst/>
                    </a:prstGeom>
                    <a:noFill/>
                  </pic:spPr>
                </pic:pic>
              </a:graphicData>
            </a:graphic>
          </wp:anchor>
        </w:drawing>
      </w:r>
    </w:p>
    <w:p>
      <w:pPr>
        <w:spacing w:after="0" w:line="231" w:lineRule="exact"/>
        <w:rPr>
          <w:sz w:val="20"/>
          <w:szCs w:val="20"/>
          <w:color w:val="auto"/>
        </w:rPr>
      </w:pPr>
    </w:p>
    <w:p>
      <w:pPr>
        <w:jc w:val="both"/>
        <w:ind w:right="20" w:firstLine="450"/>
        <w:spacing w:after="0" w:line="309" w:lineRule="auto"/>
        <w:rPr>
          <w:sz w:val="20"/>
          <w:szCs w:val="20"/>
          <w:color w:val="auto"/>
        </w:rPr>
      </w:pPr>
      <w:r>
        <w:rPr>
          <w:rFonts w:ascii="Times New Roman" w:cs="Times New Roman" w:eastAsia="Times New Roman" w:hAnsi="Times New Roman"/>
          <w:sz w:val="19"/>
          <w:szCs w:val="19"/>
          <w:color w:val="auto"/>
        </w:rPr>
        <w:t>Future minimum lease payments under operating lease liabilities were $0.4 million as of December 31, 2025 which are recorded in the line item “accrued expenses and other current liabilities” in the consolidated balance sheet.</w:t>
      </w:r>
    </w:p>
    <w:p>
      <w:pPr>
        <w:spacing w:after="0" w:line="117" w:lineRule="exact"/>
        <w:rPr>
          <w:sz w:val="20"/>
          <w:szCs w:val="20"/>
          <w:color w:val="auto"/>
        </w:rPr>
      </w:pPr>
    </w:p>
    <w:p>
      <w:pPr>
        <w:jc w:val="both"/>
        <w:ind w:right="40" w:firstLine="450"/>
        <w:spacing w:after="0" w:line="271" w:lineRule="auto"/>
        <w:rPr>
          <w:sz w:val="20"/>
          <w:szCs w:val="20"/>
          <w:color w:val="auto"/>
        </w:rPr>
      </w:pPr>
      <w:r>
        <w:rPr>
          <w:rFonts w:ascii="Times New Roman" w:cs="Times New Roman" w:eastAsia="Times New Roman" w:hAnsi="Times New Roman"/>
          <w:sz w:val="19"/>
          <w:szCs w:val="19"/>
          <w:color w:val="auto"/>
        </w:rPr>
        <w:t>During the years ended December 31, 2025 and 2024, the Company evaluated its remaining right-of-use assets for impairment, as the Plan (as defined below in Note 13) has resulted in a cessation of use for the United Kingdom locations. The Company determined these assets were impaired and recognized an impairment loss of nil and</w:t>
      </w:r>
    </w:p>
    <w:p>
      <w:pPr>
        <w:ind w:right="440"/>
        <w:spacing w:after="0" w:line="287" w:lineRule="auto"/>
        <w:rPr>
          <w:sz w:val="20"/>
          <w:szCs w:val="20"/>
          <w:color w:val="auto"/>
        </w:rPr>
      </w:pPr>
      <w:r>
        <w:rPr>
          <w:rFonts w:ascii="Times New Roman" w:cs="Times New Roman" w:eastAsia="Times New Roman" w:hAnsi="Times New Roman"/>
          <w:sz w:val="19"/>
          <w:szCs w:val="19"/>
          <w:color w:val="auto"/>
        </w:rPr>
        <w:t>$0.8 million for the years ended December 31, 2025 and 2024, respectively, which are recorded in the line item “restructuring and impairment charges” in the consolidated statements of operations and comprehensive loss.</w:t>
      </w:r>
    </w:p>
    <w:p>
      <w:pPr>
        <w:spacing w:after="0" w:line="1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b w:val="1"/>
          <w:bCs w:val="1"/>
          <w:color w:val="auto"/>
        </w:rPr>
        <w:t>Company’s Subsidiary as a Lessor: Tarzana Facility Lease with AstraZeneca</w:t>
      </w:r>
    </w:p>
    <w:p>
      <w:pPr>
        <w:spacing w:after="0" w:line="217"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On July 10, 2024, Complex Therapeutics LLC, a wholly owned subsidiary of the Company, entered into a lease with AstraZeneca Pharmaceuticals LP (“Tenant”) pursuant to which Tenant is leasing the facility located in Tarzana, California (the “Lease”). The Lease has an initial term of approximately 15 years, beginning on July 10, 2024 and ending on July 31, 2039, with Tenant having two consecutive options to extend the term for a five-year period each and a one-time option to terminate the Lease on the tenth anniversary of the commencement of the Lease, which, if exercised, obligates Tenant to pay Complex Therapeutics LLC a termination fee. The initial base rent was approximately $0.6 million per month (approximately $7.5 million annually) and the base rent escalates by 3% per annum. Tenant is also required to pay certain operating expenses and tax expenses as additional rent. There was rent abatement during the first year of the Lease such that Tenant paid no rent or reduced rent during this period. Tenant also has a right of first offer to purchase the premises that are subject to the Lease.</w:t>
      </w:r>
    </w:p>
    <w:p>
      <w:pPr>
        <w:sectPr>
          <w:pgSz w:w="12240" w:h="15840" w:orient="portrait"/>
          <w:cols w:equalWidth="0" w:num="1">
            <w:col w:w="9360"/>
          </w:cols>
          <w:pgMar w:left="1440" w:top="1378" w:right="1440" w:bottom="1026" w:gutter="0" w:footer="0" w:header="0"/>
        </w:sectPr>
      </w:pPr>
    </w:p>
    <w:bookmarkStart w:id="101" w:name="page102"/>
    <w:bookmarkEnd w:id="101"/>
    <w:p>
      <w:pPr>
        <w:ind w:right="140" w:firstLine="450"/>
        <w:spacing w:after="0" w:line="260" w:lineRule="auto"/>
        <w:rPr>
          <w:sz w:val="20"/>
          <w:szCs w:val="20"/>
          <w:color w:val="auto"/>
        </w:rPr>
      </w:pPr>
      <w:r>
        <w:rPr>
          <w:rFonts w:ascii="Times New Roman" w:cs="Times New Roman" w:eastAsia="Times New Roman" w:hAnsi="Times New Roman"/>
          <w:sz w:val="20"/>
          <w:szCs w:val="20"/>
          <w:color w:val="auto"/>
        </w:rPr>
        <w:t>The Lease is classified as an operating lease and revenue is recognized on a straight-line basis and is recorded within the consolidated statements of operations and comprehensive loss in the line item “Other rental income” as this is not a part of the Company’s core operations. Rental income related to the Lease was as follows (in thousands):</w:t>
      </w:r>
    </w:p>
    <w:p>
      <w:pPr>
        <w:spacing w:after="0" w:line="3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3533775</wp:posOffset>
                </wp:positionH>
                <wp:positionV relativeFrom="paragraph">
                  <wp:posOffset>29845</wp:posOffset>
                </wp:positionV>
                <wp:extent cx="24098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9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25pt,2.35pt" to="468pt,2.35pt" o:allowincell="f" strokecolor="#000000" strokeweight="1pt"/>
            </w:pict>
          </mc:Fallback>
        </mc:AlternateContent>
      </w:r>
    </w:p>
    <w:p>
      <w:pPr>
        <w:spacing w:after="0" w:line="35" w:lineRule="exact"/>
        <w:rPr>
          <w:sz w:val="20"/>
          <w:szCs w:val="20"/>
          <w:color w:val="auto"/>
        </w:rPr>
      </w:pPr>
    </w:p>
    <w:p>
      <w:pPr>
        <w:ind w:left="6320"/>
        <w:spacing w:after="0"/>
        <w:tabs>
          <w:tab w:leader="none" w:pos="82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5969000" cy="206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8">
                      <a:extLst>
                        <a:ext uri="{28A0092B-C50C-407E-A947-70E740481C1C}"/>
                      </a:extLst>
                    </a:blip>
                    <a:srcRect/>
                    <a:stretch>
                      <a:fillRect/>
                    </a:stretch>
                  </pic:blipFill>
                  <pic:spPr bwMode="auto">
                    <a:xfrm>
                      <a:off x="0" y="0"/>
                      <a:ext cx="5969000" cy="206375"/>
                    </a:xfrm>
                    <a:prstGeom prst="rect">
                      <a:avLst/>
                    </a:prstGeom>
                    <a:noFill/>
                  </pic:spPr>
                </pic:pic>
              </a:graphicData>
            </a:graphic>
          </wp:anchor>
        </w:drawing>
      </w:r>
    </w:p>
    <w:p>
      <w:pPr>
        <w:spacing w:after="0" w:line="39" w:lineRule="exact"/>
        <w:rPr>
          <w:sz w:val="20"/>
          <w:szCs w:val="20"/>
          <w:color w:val="auto"/>
        </w:rPr>
      </w:pPr>
    </w:p>
    <w:p>
      <w:pPr>
        <w:ind w:left="60"/>
        <w:spacing w:after="0"/>
        <w:tabs>
          <w:tab w:leader="none" w:pos="6920" w:val="left"/>
          <w:tab w:leader="none" w:pos="8800" w:val="left"/>
        </w:tabs>
        <w:rPr>
          <w:sz w:val="20"/>
          <w:szCs w:val="20"/>
          <w:color w:val="auto"/>
        </w:rPr>
      </w:pPr>
      <w:r>
        <w:rPr>
          <w:rFonts w:ascii="Times New Roman" w:cs="Times New Roman" w:eastAsia="Times New Roman" w:hAnsi="Times New Roman"/>
          <w:sz w:val="20"/>
          <w:szCs w:val="20"/>
          <w:color w:val="auto"/>
        </w:rPr>
        <w:t xml:space="preserve">Rental income related to fixed lease income </w:t>
      </w: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8,968  $</w:t>
      </w:r>
      <w:r>
        <w:rPr>
          <w:sz w:val="20"/>
          <w:szCs w:val="20"/>
          <w:color w:val="auto"/>
        </w:rPr>
        <w:tab/>
      </w:r>
      <w:r>
        <w:rPr>
          <w:rFonts w:ascii="Times New Roman" w:cs="Times New Roman" w:eastAsia="Times New Roman" w:hAnsi="Times New Roman"/>
          <w:sz w:val="20"/>
          <w:szCs w:val="20"/>
          <w:color w:val="auto"/>
        </w:rPr>
        <w:t>4,267</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Approximate future straight-lined contractual lease income to be recognized under the lease in effect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is as follows (in thousands):</w:t>
      </w:r>
    </w:p>
    <w:p>
      <w:pPr>
        <w:spacing w:after="0" w:line="60"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0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December 31, 2025</w:t>
            </w:r>
          </w:p>
        </w:tc>
      </w:tr>
      <w:tr>
        <w:trPr>
          <w:trHeight w:val="262"/>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2026 </w:t>
            </w:r>
            <w:r>
              <w:rPr>
                <w:rFonts w:ascii="Times New Roman" w:cs="Times New Roman" w:eastAsia="Times New Roman" w:hAnsi="Times New Roman"/>
                <w:sz w:val="20"/>
                <w:szCs w:val="20"/>
                <w:color w:val="B4B4B4"/>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w:t>
            </w:r>
          </w:p>
        </w:tc>
      </w:tr>
      <w:tr>
        <w:trPr>
          <w:trHeight w:val="285"/>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2027 </w:t>
            </w:r>
            <w:r>
              <w:rPr>
                <w:rFonts w:ascii="Times New Roman" w:cs="Times New Roman" w:eastAsia="Times New Roman" w:hAnsi="Times New Roman"/>
                <w:sz w:val="20"/>
                <w:szCs w:val="20"/>
                <w:color w:val="B4B4B4"/>
                <w:w w:val="99"/>
              </w:rPr>
              <w:t>...................................................................................................................................</w:t>
            </w:r>
          </w:p>
        </w:tc>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w:t>
            </w:r>
          </w:p>
        </w:tc>
      </w:tr>
      <w:tr>
        <w:trPr>
          <w:trHeight w:val="285"/>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2028 </w:t>
            </w:r>
            <w:r>
              <w:rPr>
                <w:rFonts w:ascii="Times New Roman" w:cs="Times New Roman" w:eastAsia="Times New Roman" w:hAnsi="Times New Roman"/>
                <w:sz w:val="20"/>
                <w:szCs w:val="20"/>
                <w:color w:val="B4B4B4"/>
                <w:w w:val="99"/>
              </w:rPr>
              <w:t>...................................................................................................................................</w:t>
            </w:r>
          </w:p>
        </w:tc>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w:t>
            </w:r>
          </w:p>
        </w:tc>
      </w:tr>
      <w:tr>
        <w:trPr>
          <w:trHeight w:val="285"/>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2029 </w:t>
            </w:r>
            <w:r>
              <w:rPr>
                <w:rFonts w:ascii="Times New Roman" w:cs="Times New Roman" w:eastAsia="Times New Roman" w:hAnsi="Times New Roman"/>
                <w:sz w:val="20"/>
                <w:szCs w:val="20"/>
                <w:color w:val="B4B4B4"/>
                <w:w w:val="99"/>
              </w:rPr>
              <w:t>...................................................................................................................................</w:t>
            </w:r>
          </w:p>
        </w:tc>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w:t>
            </w:r>
          </w:p>
        </w:tc>
      </w:tr>
      <w:tr>
        <w:trPr>
          <w:trHeight w:val="285"/>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2030 </w:t>
            </w:r>
            <w:r>
              <w:rPr>
                <w:rFonts w:ascii="Times New Roman" w:cs="Times New Roman" w:eastAsia="Times New Roman" w:hAnsi="Times New Roman"/>
                <w:sz w:val="20"/>
                <w:szCs w:val="20"/>
                <w:color w:val="B4B4B4"/>
                <w:w w:val="99"/>
              </w:rPr>
              <w:t>...................................................................................................................................</w:t>
            </w:r>
          </w:p>
        </w:tc>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8,968</w:t>
            </w:r>
          </w:p>
        </w:tc>
      </w:tr>
      <w:tr>
        <w:trPr>
          <w:trHeight w:val="288"/>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Thereafter </w:t>
            </w:r>
            <w:r>
              <w:rPr>
                <w:rFonts w:ascii="Times New Roman" w:cs="Times New Roman" w:eastAsia="Times New Roman" w:hAnsi="Times New Roman"/>
                <w:sz w:val="20"/>
                <w:szCs w:val="20"/>
                <w:color w:val="B4B4B4"/>
                <w:w w:val="99"/>
              </w:rPr>
              <w:t>..........................................................................................................................</w:t>
            </w: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76,974</w:t>
            </w:r>
          </w:p>
        </w:tc>
      </w:tr>
      <w:tr>
        <w:trPr>
          <w:trHeight w:val="245"/>
        </w:trPr>
        <w:tc>
          <w:tcPr>
            <w:tcW w:w="7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121,814</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5981700" cy="1317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a:extLst>
                        <a:ext uri="{28A0092B-C50C-407E-A947-70E740481C1C}"/>
                      </a:extLst>
                    </a:blip>
                    <a:srcRect/>
                    <a:stretch>
                      <a:fillRect/>
                    </a:stretch>
                  </pic:blipFill>
                  <pic:spPr bwMode="auto">
                    <a:xfrm>
                      <a:off x="0" y="0"/>
                      <a:ext cx="5981700" cy="1317625"/>
                    </a:xfrm>
                    <a:prstGeom prst="rect">
                      <a:avLst/>
                    </a:prstGeom>
                    <a:noFill/>
                  </pic:spPr>
                </pic:pic>
              </a:graphicData>
            </a:graphic>
          </wp:anchor>
        </w:drawing>
      </w:r>
    </w:p>
    <w:p>
      <w:pPr>
        <w:spacing w:after="0" w:line="188"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20"/>
          <w:szCs w:val="20"/>
          <w:color w:val="auto"/>
        </w:rPr>
        <w:t>Differences between rental income earned and amounts due per the Lease is capitalized or charged, as applicable, to accrued rent receivable. As of December 31, 2025 and December 31, 2024, the Company had accrued rent receivable of $7.7 million and $4.3 million, respectively.</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19"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20"/>
          <w:szCs w:val="20"/>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 Company does not expect that the resolution of these matters will have a material adverse effect on its financial position, results of operations or cash flows.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Debt</w:t>
      </w:r>
    </w:p>
    <w:p>
      <w:pPr>
        <w:spacing w:after="0" w:line="219"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20"/>
          <w:szCs w:val="20"/>
          <w:color w:val="auto"/>
        </w:rPr>
        <w:t>In June 2022, the Company’s wholly owned subsidiaries, Complex Therapeutics Mezzanine LLC and Complex Therapeutics LLC entered into a mortgage construction loan and mezzanine construction loan (together, the “Construction Loans”) secured by Complex Therapeutic LLC's Tarzana, California land and building. The initial principal amount of the Construction Loans was $52.1 million, with additional future principal of up to</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$32.9 million to fund ongoing construction costs. The Construction Loans were guaranteed by the Company and bore interest at the one-month Secured Overnight Financing Rate, plus 5.25% per annum. On July 10, 2024, Complex Therapeutics LLC entered into the Lease. On December 20, 2024, Complex Therapeutics LLC refinanced the outstanding principal amount under the Construction Loans and the Company treated it as a loan extinguishment for accounting purposes and recorded the $0.4 million of unamortized debt issuance costs associated with the Construction Loans as a loss on debt extinguishment recognized in other expense, net in the consolidated statements of operations and comprehensive loss for the year ended December 31, 2024.</w:t>
      </w:r>
    </w:p>
    <w:p>
      <w:pPr>
        <w:spacing w:after="0" w:line="169"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20"/>
          <w:szCs w:val="20"/>
          <w:color w:val="auto"/>
        </w:rPr>
        <w:t>On December 20, 2024, Complex Therapeutics LLC entered into a Term Loan Agreement (the “2024 Loan”) and related loan documents with Midland National Life Insurance Company (“Midland”), pursuant to which Midland loaned Complex Therapeutics LLC a term loan in the principal amount of $85.6 million to refinance the Construction Loans. Substantially all of the 2024 Loan proceeds were used to repay in full the Construction Loans. As of December 31, 2025, the outstanding principal amount under the 2024 Loan was $85.6 million and unamortized debt issuance costs were $0.8 million.</w:t>
      </w:r>
    </w:p>
    <w:p>
      <w:pPr>
        <w:sectPr>
          <w:pgSz w:w="12240" w:h="15840" w:orient="portrait"/>
          <w:cols w:equalWidth="0" w:num="1">
            <w:col w:w="9360"/>
          </w:cols>
          <w:pgMar w:left="1440" w:top="1378" w:right="1440" w:bottom="1440" w:gutter="0" w:footer="0" w:header="0"/>
        </w:sectPr>
      </w:pPr>
    </w:p>
    <w:bookmarkStart w:id="102" w:name="page103"/>
    <w:bookmarkEnd w:id="102"/>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The 2024 Loan has a term of two years with a one-year extension option. The extension option is subject to certain conditions being met, including: (a) no potential default or event of default, (b) payment of a 0.35% extension fee and the costs and expenses of Midland incurred in connection with the extension, (c) replenishing of all reserve funds as reasonably determined by Midland, and (d) compliance with minimum debt yield and debt service coverage ratio requirements. The 2024 Loan bears interest at a fixed rate of 6.35% per annum, with interest-only payments during the term of the 2024 Loan and the principal balance due in full at maturity. The Company expects Complex Therapeutics LLC to meet all requirements necessary to exercise the extension.</w:t>
      </w:r>
    </w:p>
    <w:p>
      <w:pPr>
        <w:spacing w:after="0" w:line="170" w:lineRule="exact"/>
        <w:rPr>
          <w:sz w:val="20"/>
          <w:szCs w:val="20"/>
          <w:color w:val="auto"/>
        </w:rPr>
      </w:pPr>
    </w:p>
    <w:p>
      <w:pPr>
        <w:ind w:right="360" w:firstLine="450"/>
        <w:spacing w:after="0" w:line="258" w:lineRule="auto"/>
        <w:rPr>
          <w:sz w:val="20"/>
          <w:szCs w:val="20"/>
          <w:color w:val="auto"/>
        </w:rPr>
      </w:pPr>
      <w:r>
        <w:rPr>
          <w:rFonts w:ascii="Times New Roman" w:cs="Times New Roman" w:eastAsia="Times New Roman" w:hAnsi="Times New Roman"/>
          <w:sz w:val="20"/>
          <w:szCs w:val="20"/>
          <w:color w:val="auto"/>
        </w:rPr>
        <w:t>The 2024 Loan may be prepaid in whole but not in part. If the 2024 Loan is prepaid on or prior to the 12-month anniversary of the Closing Date, a prepayment fee is required (other than in connection with a casualty or condemnation event) to make Midland whole for the interest it would have otherwise earned on the 2024 Loan during the first 12 months. There is no prepayment fee due if the 2024 Loan is prepaid after the 12-month anniversary of the Closing Date.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net carrying amount of the liability component of the 2024 Loan was as follows (in thousands):</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50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40" w:type="dxa"/>
            <w:vAlign w:val="bottom"/>
            <w:tcBorders>
              <w:bottom w:val="single" w:sz="8" w:color="auto"/>
            </w:tcBorders>
          </w:tcPr>
          <w:p>
            <w:pPr>
              <w:spacing w:after="0"/>
              <w:rPr>
                <w:sz w:val="23"/>
                <w:szCs w:val="23"/>
                <w:color w:val="auto"/>
              </w:rPr>
            </w:pPr>
          </w:p>
        </w:tc>
      </w:tr>
      <w:tr>
        <w:trPr>
          <w:trHeight w:val="265"/>
        </w:trPr>
        <w:tc>
          <w:tcPr>
            <w:tcW w:w="5500" w:type="dxa"/>
            <w:vAlign w:val="bottom"/>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7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Principalamount</w:t>
            </w:r>
          </w:p>
        </w:tc>
        <w:tc>
          <w:tcPr>
            <w:tcW w:w="1200" w:type="dxa"/>
            <w:vAlign w:val="bottom"/>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85,600</w:t>
            </w:r>
          </w:p>
        </w:tc>
        <w:tc>
          <w:tcPr>
            <w:tcW w:w="64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85,600</w:t>
            </w:r>
          </w:p>
        </w:tc>
      </w:tr>
      <w:tr>
        <w:trPr>
          <w:trHeight w:val="288"/>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Unamortized debt issuance cost </w:t>
            </w:r>
            <w:r>
              <w:rPr>
                <w:rFonts w:ascii="Times New Roman" w:cs="Times New Roman" w:eastAsia="Times New Roman" w:hAnsi="Times New Roman"/>
                <w:sz w:val="20"/>
                <w:szCs w:val="20"/>
                <w:color w:val="B4B4B4"/>
                <w:w w:val="98"/>
              </w:rPr>
              <w:t>..........................................................</w:t>
            </w: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w:t>
            </w:r>
          </w:p>
        </w:tc>
      </w:tr>
      <w:tr>
        <w:trPr>
          <w:trHeight w:val="245"/>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Netcarryingamount</w:t>
            </w:r>
          </w:p>
        </w:tc>
        <w:tc>
          <w:tcPr>
            <w:tcW w:w="120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84,806</w:t>
            </w:r>
          </w:p>
        </w:tc>
        <w:tc>
          <w:tcPr>
            <w:tcW w:w="6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84,187</w:t>
            </w:r>
          </w:p>
        </w:tc>
      </w:tr>
      <w:tr>
        <w:trPr>
          <w:trHeight w:val="20"/>
        </w:trPr>
        <w:tc>
          <w:tcPr>
            <w:tcW w:w="5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88" w:lineRule="exact"/>
        <w:rPr>
          <w:sz w:val="20"/>
          <w:szCs w:val="20"/>
          <w:color w:val="auto"/>
        </w:rPr>
      </w:pPr>
    </w:p>
    <w:p>
      <w:pPr>
        <w:jc w:val="both"/>
        <w:ind w:right="4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interest expense recognized related to the 2024 Loan and Construction Loans (in thousands):</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500" w:type="dxa"/>
            <w:vAlign w:val="bottom"/>
          </w:tcPr>
          <w:p>
            <w:pPr>
              <w:spacing w:after="0"/>
              <w:rPr>
                <w:sz w:val="23"/>
                <w:szCs w:val="23"/>
                <w:color w:val="auto"/>
              </w:rPr>
            </w:pPr>
          </w:p>
        </w:tc>
        <w:tc>
          <w:tcPr>
            <w:tcW w:w="3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40" w:type="dxa"/>
            <w:vAlign w:val="bottom"/>
            <w:tcBorders>
              <w:bottom w:val="single" w:sz="8" w:color="auto"/>
            </w:tcBorders>
          </w:tcPr>
          <w:p>
            <w:pPr>
              <w:spacing w:after="0"/>
              <w:rPr>
                <w:sz w:val="23"/>
                <w:szCs w:val="23"/>
                <w:color w:val="auto"/>
              </w:rPr>
            </w:pPr>
          </w:p>
        </w:tc>
      </w:tr>
      <w:tr>
        <w:trPr>
          <w:trHeight w:val="265"/>
        </w:trPr>
        <w:tc>
          <w:tcPr>
            <w:tcW w:w="5500" w:type="dxa"/>
            <w:vAlign w:val="bottom"/>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40" w:type="dxa"/>
            <w:vAlign w:val="bottom"/>
            <w:tcBorders>
              <w:bottom w:val="single" w:sz="8" w:color="auto"/>
            </w:tcBorders>
          </w:tcPr>
          <w:p>
            <w:pPr>
              <w:spacing w:after="0"/>
              <w:rPr>
                <w:sz w:val="23"/>
                <w:szCs w:val="23"/>
                <w:color w:val="auto"/>
              </w:rPr>
            </w:pPr>
          </w:p>
        </w:tc>
      </w:tr>
      <w:tr>
        <w:trPr>
          <w:trHeight w:val="262"/>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Contractualinterestexpense</w:t>
            </w:r>
          </w:p>
        </w:tc>
        <w:tc>
          <w:tcPr>
            <w:tcW w:w="126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5,038</w:t>
            </w:r>
          </w:p>
        </w:tc>
        <w:tc>
          <w:tcPr>
            <w:tcW w:w="128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7,997</w:t>
            </w:r>
          </w:p>
        </w:tc>
      </w:tr>
      <w:tr>
        <w:trPr>
          <w:trHeight w:val="288"/>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Amortization of debt issuance cost </w:t>
            </w:r>
            <w:r>
              <w:rPr>
                <w:rFonts w:ascii="Times New Roman" w:cs="Times New Roman" w:eastAsia="Times New Roman" w:hAnsi="Times New Roman"/>
                <w:sz w:val="20"/>
                <w:szCs w:val="20"/>
                <w:color w:val="B4B4B4"/>
                <w:w w:val="98"/>
              </w:rPr>
              <w:t>.....................................................</w:t>
            </w:r>
          </w:p>
        </w:tc>
        <w:tc>
          <w:tcPr>
            <w:tcW w:w="1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995</w:t>
            </w:r>
          </w:p>
        </w:tc>
      </w:tr>
      <w:tr>
        <w:trPr>
          <w:trHeight w:val="245"/>
        </w:trPr>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Totalinterestexpenserelatedtotheloans</w:t>
            </w:r>
          </w:p>
        </w:tc>
        <w:tc>
          <w:tcPr>
            <w:tcW w:w="12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128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8,992</w:t>
            </w:r>
          </w:p>
        </w:tc>
      </w:tr>
      <w:tr>
        <w:trPr>
          <w:trHeight w:val="20"/>
        </w:trPr>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19"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20"/>
          <w:szCs w:val="20"/>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No liability associated with such indemnifications was recorded as of December 31, 2025 and 2024.</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w:t>
      </w:r>
    </w:p>
    <w:p>
      <w:pPr>
        <w:spacing w:after="0" w:line="219" w:lineRule="exact"/>
        <w:rPr>
          <w:sz w:val="20"/>
          <w:szCs w:val="20"/>
          <w:color w:val="auto"/>
        </w:rPr>
      </w:pPr>
    </w:p>
    <w:p>
      <w:pPr>
        <w:ind w:right="280" w:firstLine="450"/>
        <w:spacing w:after="0" w:line="260"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and various purchase agreements and commitments with third-party vendors for clinical research services, products and other services for operating purposes. These agreements generally provide for termination or cancellation at the Company's option, other than for costs already incurred.</w:t>
      </w:r>
    </w:p>
    <w:p>
      <w:pPr>
        <w:spacing w:after="0" w:line="163"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As of December 31, 2025 and 2024, the Company had nil and $0.1 million outstanding liabilities, respectively, in commitments for employee benefits as part of the Plan (see Note 13). As of December 31, 2025 and 2024, the Company had $0.2 million and $1.9 million, respectively, in commitments for contract terminations as part of the Plan. (see Note 13).</w:t>
      </w:r>
    </w:p>
    <w:p>
      <w:pPr>
        <w:spacing w:after="0" w:line="163" w:lineRule="exact"/>
        <w:rPr>
          <w:sz w:val="20"/>
          <w:szCs w:val="20"/>
          <w:color w:val="auto"/>
        </w:rPr>
      </w:pPr>
    </w:p>
    <w:p>
      <w:pPr>
        <w:ind w:right="460" w:firstLine="450"/>
        <w:spacing w:after="0" w:line="286" w:lineRule="auto"/>
        <w:rPr>
          <w:sz w:val="20"/>
          <w:szCs w:val="20"/>
          <w:color w:val="auto"/>
        </w:rPr>
      </w:pPr>
      <w:r>
        <w:rPr>
          <w:rFonts w:ascii="Times New Roman" w:cs="Times New Roman" w:eastAsia="Times New Roman" w:hAnsi="Times New Roman"/>
          <w:sz w:val="19"/>
          <w:szCs w:val="19"/>
          <w:color w:val="auto"/>
        </w:rPr>
        <w:t>The Company entered into an agreement in 2023 with a third-party collaborator in China related to the development of the Company’s CoStAR-TIL technology; this agreement was subsequently terminated in 2025. Milestone payments of nil and $2.6 million were made during the year ended December 31, 2025 and 2024,</w:t>
      </w:r>
    </w:p>
    <w:p>
      <w:pPr>
        <w:sectPr>
          <w:pgSz w:w="12240" w:h="15840" w:orient="portrait"/>
          <w:cols w:equalWidth="0" w:num="1">
            <w:col w:w="9360"/>
          </w:cols>
          <w:pgMar w:left="1440" w:top="1378" w:right="1440" w:bottom="824" w:gutter="0" w:footer="0" w:header="0"/>
        </w:sectPr>
      </w:pPr>
    </w:p>
    <w:bookmarkStart w:id="103" w:name="page104"/>
    <w:bookmarkEnd w:id="103"/>
    <w:p>
      <w:pPr>
        <w:ind w:right="760"/>
        <w:spacing w:after="0" w:line="281" w:lineRule="auto"/>
        <w:rPr>
          <w:sz w:val="20"/>
          <w:szCs w:val="20"/>
          <w:color w:val="auto"/>
        </w:rPr>
      </w:pPr>
      <w:r>
        <w:rPr>
          <w:rFonts w:ascii="Times New Roman" w:cs="Times New Roman" w:eastAsia="Times New Roman" w:hAnsi="Times New Roman"/>
          <w:sz w:val="20"/>
          <w:szCs w:val="20"/>
          <w:color w:val="auto"/>
        </w:rPr>
        <w:t>respectively, and were recorded within research and development expense in the consolidated statements of operations and comprehensive loss.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Equity</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219" w:lineRule="exact"/>
        <w:rPr>
          <w:sz w:val="20"/>
          <w:szCs w:val="20"/>
          <w:color w:val="auto"/>
        </w:rPr>
      </w:pPr>
    </w:p>
    <w:p>
      <w:pPr>
        <w:ind w:right="120" w:firstLine="450"/>
        <w:spacing w:after="0" w:line="244" w:lineRule="auto"/>
        <w:rPr>
          <w:sz w:val="20"/>
          <w:szCs w:val="20"/>
          <w:color w:val="auto"/>
        </w:rPr>
      </w:pPr>
      <w:r>
        <w:rPr>
          <w:rFonts w:ascii="Times New Roman" w:cs="Times New Roman" w:eastAsia="Times New Roman" w:hAnsi="Times New Roman"/>
          <w:sz w:val="20"/>
          <w:szCs w:val="20"/>
          <w:color w:val="auto"/>
        </w:rPr>
        <w:t>Each share of common stock has the right to one vote. The holders of common stock are also entitled to receive dividends out of legally available funds when and if declared by the Company’s Board of Directors, subject to the rights of holders of any classes of stock outstanding having priority rights as to dividends. No cash dividends have been declared by the Board of Directors from inception.</w:t>
      </w:r>
    </w:p>
    <w:p>
      <w:pPr>
        <w:spacing w:after="0" w:line="161" w:lineRule="exact"/>
        <w:rPr>
          <w:sz w:val="20"/>
          <w:szCs w:val="20"/>
          <w:color w:val="auto"/>
        </w:rPr>
      </w:pPr>
    </w:p>
    <w:p>
      <w:pPr>
        <w:ind w:right="520"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the Company had 6,781,976 and 6,525,887 shares of common stock outstanding, respectively.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 (ATM Program)</w:t>
      </w:r>
    </w:p>
    <w:p>
      <w:pPr>
        <w:spacing w:after="0" w:line="219" w:lineRule="exact"/>
        <w:rPr>
          <w:sz w:val="20"/>
          <w:szCs w:val="20"/>
          <w:color w:val="auto"/>
        </w:rPr>
      </w:pPr>
    </w:p>
    <w:p>
      <w:pPr>
        <w:ind w:right="80" w:firstLine="450"/>
        <w:spacing w:after="0" w:line="252" w:lineRule="auto"/>
        <w:rPr>
          <w:sz w:val="20"/>
          <w:szCs w:val="20"/>
          <w:color w:val="auto"/>
        </w:rPr>
      </w:pPr>
      <w:r>
        <w:rPr>
          <w:rFonts w:ascii="Times New Roman" w:cs="Times New Roman" w:eastAsia="Times New Roman" w:hAnsi="Times New Roman"/>
          <w:sz w:val="19"/>
          <w:szCs w:val="19"/>
          <w:color w:val="auto"/>
        </w:rPr>
        <w:t>In March 2025, the Company entered into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9"/>
          <w:szCs w:val="19"/>
          <w:color w:val="auto"/>
        </w:rPr>
        <w:t xml:space="preserve"> with Jefferies LLC (“Jefferies”) pursuant to which the Company may, subject to the terms and conditions set forth in the agreement, offer and sell, from time to time, through or to Jefferies, acting as agent or principal, shares of common stock having an aggregate offering price of up to $100.0 million in one or more “at the market offerings” (the “ATM Program”).</w:t>
      </w:r>
    </w:p>
    <w:p>
      <w:pPr>
        <w:spacing w:after="0" w:line="170" w:lineRule="exact"/>
        <w:rPr>
          <w:sz w:val="20"/>
          <w:szCs w:val="20"/>
          <w:color w:val="auto"/>
        </w:rPr>
      </w:pPr>
    </w:p>
    <w:p>
      <w:pPr>
        <w:ind w:right="80" w:firstLine="45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the Company sold 185,837 shares of common stock under the ATM Program at a weighted-average price of $37.13 per share, for net proceeds of $6.6 million, after deducting commissions and expenses of approximately $0.3 million. The remaining availability under the ATM Program as of December 31, 2025 is approximately $93.1 million.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19" w:lineRule="exact"/>
        <w:rPr>
          <w:sz w:val="20"/>
          <w:szCs w:val="20"/>
          <w:color w:val="auto"/>
        </w:rPr>
      </w:pPr>
    </w:p>
    <w:p>
      <w:pPr>
        <w:ind w:right="140" w:firstLine="450"/>
        <w:spacing w:after="0" w:line="254" w:lineRule="auto"/>
        <w:rPr>
          <w:sz w:val="20"/>
          <w:szCs w:val="20"/>
          <w:color w:val="auto"/>
        </w:rPr>
      </w:pPr>
      <w:r>
        <w:rPr>
          <w:rFonts w:ascii="Times New Roman" w:cs="Times New Roman" w:eastAsia="Times New Roman" w:hAnsi="Times New Roman"/>
          <w:sz w:val="20"/>
          <w:szCs w:val="20"/>
          <w:color w:val="auto"/>
        </w:rPr>
        <w:t>The Company’s current amended and restated certificate of incorporation authorizes the Company to issue up to 10,000,000 shares of preferred stock at $0.000001 par value per share. The Board of Directors is authorized to provide for the issuance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subsequent resolution or resolutions adopted by the board providing for the issuance of such shares. As of December 31, 2025 and 2024 there were no shares of preferred stock issued or outstanding.</w:t>
      </w:r>
    </w:p>
    <w:p>
      <w:pPr>
        <w:spacing w:after="0" w:line="326" w:lineRule="exact"/>
        <w:rPr>
          <w:sz w:val="20"/>
          <w:szCs w:val="20"/>
          <w:color w:val="auto"/>
        </w:rPr>
      </w:pPr>
    </w:p>
    <w:p>
      <w:pPr>
        <w:jc w:val="right"/>
        <w:ind w:left="460" w:right="6660" w:hanging="460"/>
        <w:spacing w:after="0" w:line="487" w:lineRule="auto"/>
        <w:tabs>
          <w:tab w:leader="none" w:pos="310"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Stock-Based Compensation </w:t>
      </w:r>
      <w:r>
        <w:rPr>
          <w:rFonts w:ascii="Times New Roman" w:cs="Times New Roman" w:eastAsia="Times New Roman" w:hAnsi="Times New Roman"/>
          <w:sz w:val="19"/>
          <w:szCs w:val="19"/>
          <w:b w:val="1"/>
          <w:bCs w:val="1"/>
          <w:i w:val="1"/>
          <w:iCs w:val="1"/>
          <w:color w:val="auto"/>
        </w:rPr>
        <w:t>2021 Equity Incentive Plan</w:t>
      </w:r>
    </w:p>
    <w:p>
      <w:pPr>
        <w:spacing w:after="0" w:line="1"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In March 2021, the Company adopted the 2021 Equity Incentive Plan (the “2021 Plan”), which became effective in connection with the Company’s initial public offering (“IPO”). The 2021 Plan was approved by the Board of Directors and stockholders in March 2021. The 2021 Plan is an equity incentive plan pursuant to which the Company may grant the following awards: (i) incentive stock options; (ii) nonstatutory stock options; (iii) stock appreciation rights; (iv) restricted stock awards; (v) restricted stock unit awards; (vi) performance awards; and (vii) other forms of stock awards to employees, directors, and consultants, including employees and consultants of the Company’s affiliates. The 2021 Plan is a successor to the Company’s 2018 Stock Incentive Plan (the “2018 Plan”). Following the effectiveness of the 2021 Plan, no further grants may be made under the 2018 Plan; however, any outstanding equity awards granted under the 2018 Plan will continue to be governed by the terms of the 2018 Plan.</w:t>
      </w:r>
    </w:p>
    <w:p>
      <w:pPr>
        <w:spacing w:after="0" w:line="169"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9"/>
          <w:szCs w:val="19"/>
          <w:color w:val="auto"/>
        </w:rPr>
        <w:t>The number of shares available for future issuance under the 2021 Plan is the sum of (1) 433,000 new shares of common stock, (2) 209,722 remaining shares of common stock reserved under the 2018 Plan that became available for issuance upon the effectiveness of the 2021 Plan and (3) the number of shares of common stock subject to</w:t>
      </w:r>
    </w:p>
    <w:p>
      <w:pPr>
        <w:sectPr>
          <w:pgSz w:w="12240" w:h="15840" w:orient="portrait"/>
          <w:cols w:equalWidth="0" w:num="1">
            <w:col w:w="9360"/>
          </w:cols>
          <w:pgMar w:left="1440" w:top="1378" w:right="1440" w:bottom="900" w:gutter="0" w:footer="0" w:header="0"/>
        </w:sectPr>
      </w:pPr>
    </w:p>
    <w:bookmarkStart w:id="104" w:name="page105"/>
    <w:bookmarkEnd w:id="104"/>
    <w:p>
      <w:pPr>
        <w:ind w:right="520"/>
        <w:spacing w:after="0" w:line="255" w:lineRule="auto"/>
        <w:rPr>
          <w:sz w:val="20"/>
          <w:szCs w:val="20"/>
          <w:color w:val="auto"/>
        </w:rPr>
      </w:pPr>
      <w:r>
        <w:rPr>
          <w:rFonts w:ascii="Times New Roman" w:cs="Times New Roman" w:eastAsia="Times New Roman" w:hAnsi="Times New Roman"/>
          <w:sz w:val="20"/>
          <w:szCs w:val="20"/>
          <w:color w:val="auto"/>
        </w:rPr>
        <w:t>outstanding awards under the 2018 Plan when the 2021 Plan became effective that thereafter expire or are forfeited, canceled, withheld to satisfy tax withholding or to purchase or exercise an award, repurchased by the Company or are otherwise terminated. The number of shares of common stock reserved for issuance under the 2021 Plan will automatically increase on January 1 of each year, for a period of ten years, from January 1, 2022 continuing through January 1, 2031, by 5% of the total number of shares of common stock outstanding on December 31 of the preceding calendar year, or a lesser number of shares as may be determined by the Company’s Board of Directors. Stock options granted by the Company to employees generally vest over four years with a one-year cliff.</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As of December 31, 2025, 481,355 shares of common stock remained available for issuance under the 2021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90" w:lineRule="exact"/>
        <w:rPr>
          <w:sz w:val="20"/>
          <w:szCs w:val="20"/>
          <w:color w:val="auto"/>
        </w:rPr>
      </w:pPr>
    </w:p>
    <w:p>
      <w:pPr>
        <w:ind w:right="50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stock-based compensation included in the Company's consolidated statements of operations and comprehensive loss (in thousands):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Issuable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24"/>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Under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6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6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60" w:type="dxa"/>
            <w:vAlign w:val="bottom"/>
          </w:tcPr>
          <w:p>
            <w:pPr>
              <w:spacing w:after="0"/>
              <w:rPr>
                <w:sz w:val="21"/>
                <w:szCs w:val="21"/>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62"/>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Balance,December31,2023</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659,608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799,622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Additional shares authorized </w:t>
            </w:r>
            <w:r>
              <w:rPr>
                <w:rFonts w:ascii="Times New Roman" w:cs="Times New Roman" w:eastAsia="Times New Roman" w:hAnsi="Times New Roman"/>
                <w:sz w:val="20"/>
                <w:szCs w:val="20"/>
                <w:color w:val="B4B4B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325,196</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Options granted </w:t>
            </w:r>
            <w:r>
              <w:rPr>
                <w:rFonts w:ascii="Times New Roman" w:cs="Times New Roman" w:eastAsia="Times New Roman" w:hAnsi="Times New Roman"/>
                <w:sz w:val="20"/>
                <w:szCs w:val="20"/>
                <w:color w:val="B4B4B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(546,800)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546,800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29.19</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Options forfeited </w:t>
            </w:r>
            <w:r>
              <w:rPr>
                <w:rFonts w:ascii="Times New Roman" w:cs="Times New Roman" w:eastAsia="Times New Roman" w:hAnsi="Times New Roman"/>
                <w:sz w:val="20"/>
                <w:szCs w:val="20"/>
                <w:color w:val="B4B4B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(74,989)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132.63</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Options exercised </w:t>
            </w:r>
            <w:r>
              <w:rPr>
                <w:rFonts w:ascii="Times New Roman" w:cs="Times New Roman" w:eastAsia="Times New Roman" w:hAnsi="Times New Roman"/>
                <w:sz w:val="20"/>
                <w:szCs w:val="20"/>
                <w:color w:val="B4B4B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16.64</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Balance,December31,2024</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512,993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1,249,459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4,827</w:t>
            </w:r>
          </w:p>
        </w:tc>
        <w:tc>
          <w:tcPr>
            <w:tcW w:w="0" w:type="dxa"/>
            <w:vAlign w:val="bottom"/>
          </w:tcPr>
          <w:p>
            <w:pPr>
              <w:spacing w:after="0"/>
              <w:rPr>
                <w:sz w:val="1"/>
                <w:szCs w:val="1"/>
                <w:color w:val="auto"/>
              </w:rPr>
            </w:pPr>
          </w:p>
        </w:tc>
      </w:tr>
      <w:tr>
        <w:trPr>
          <w:trHeight w:val="28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Additional shares authorized </w:t>
            </w:r>
            <w:r>
              <w:rPr>
                <w:rFonts w:ascii="Times New Roman" w:cs="Times New Roman" w:eastAsia="Times New Roman" w:hAnsi="Times New Roman"/>
                <w:sz w:val="20"/>
                <w:szCs w:val="20"/>
                <w:color w:val="B4B4B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Options granted </w:t>
            </w:r>
            <w:r>
              <w:rPr>
                <w:rFonts w:ascii="Times New Roman" w:cs="Times New Roman" w:eastAsia="Times New Roman" w:hAnsi="Times New Roman"/>
                <w:sz w:val="20"/>
                <w:szCs w:val="20"/>
                <w:color w:val="B4B4B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(562,010)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562,010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17.58</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Options forfeited </w:t>
            </w:r>
            <w:r>
              <w:rPr>
                <w:rFonts w:ascii="Times New Roman" w:cs="Times New Roman" w:eastAsia="Times New Roman" w:hAnsi="Times New Roman"/>
                <w:sz w:val="20"/>
                <w:szCs w:val="20"/>
                <w:color w:val="B4B4B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(205,360)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63.25</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Options exercised </w:t>
            </w:r>
            <w:r>
              <w:rPr>
                <w:rFonts w:ascii="Times New Roman" w:cs="Times New Roman" w:eastAsia="Times New Roman" w:hAnsi="Times New Roman"/>
                <w:sz w:val="20"/>
                <w:szCs w:val="20"/>
                <w:color w:val="B4B4B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12.13</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Balance,December31,2025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481,355</w:t>
            </w:r>
          </w:p>
        </w:tc>
        <w:tc>
          <w:tcPr>
            <w:tcW w:w="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1,537,107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515</w:t>
            </w:r>
          </w:p>
        </w:tc>
        <w:tc>
          <w:tcPr>
            <w:tcW w:w="0" w:type="dxa"/>
            <w:vAlign w:val="bottom"/>
          </w:tcPr>
          <w:p>
            <w:pPr>
              <w:spacing w:after="0"/>
              <w:rPr>
                <w:sz w:val="1"/>
                <w:szCs w:val="1"/>
                <w:color w:val="auto"/>
              </w:rPr>
            </w:pPr>
          </w:p>
        </w:tc>
      </w:tr>
      <w:tr>
        <w:trPr>
          <w:trHeight w:val="20"/>
        </w:trPr>
        <w:tc>
          <w:tcPr>
            <w:tcW w:w="4100" w:type="dxa"/>
            <w:vAlign w:val="bottom"/>
            <w:vMerge w:val="restart"/>
          </w:tcPr>
          <w:p>
            <w:pPr>
              <w:jc w:val="right"/>
              <w:ind w:right="1401"/>
              <w:spacing w:after="0"/>
              <w:rPr>
                <w:sz w:val="20"/>
                <w:szCs w:val="20"/>
                <w:color w:val="auto"/>
              </w:rPr>
            </w:pPr>
            <w:r>
              <w:rPr>
                <w:rFonts w:ascii="Times New Roman" w:cs="Times New Roman" w:eastAsia="Times New Roman" w:hAnsi="Times New Roman"/>
                <w:sz w:val="20"/>
                <w:szCs w:val="20"/>
                <w:color w:val="auto"/>
                <w:w w:val="99"/>
              </w:rPr>
              <w:t>Exercisable, December 31, 2025</w:t>
            </w: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66.48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515</w:t>
            </w:r>
          </w:p>
        </w:tc>
        <w:tc>
          <w:tcPr>
            <w:tcW w:w="0" w:type="dxa"/>
            <w:vAlign w:val="bottom"/>
          </w:tcPr>
          <w:p>
            <w:pPr>
              <w:spacing w:after="0" w:line="20" w:lineRule="exact"/>
              <w:rPr>
                <w:sz w:val="1"/>
                <w:szCs w:val="1"/>
                <w:color w:val="auto"/>
              </w:rPr>
            </w:pPr>
          </w:p>
        </w:tc>
      </w:tr>
      <w:tr>
        <w:trPr>
          <w:trHeight w:val="246"/>
        </w:trPr>
        <w:tc>
          <w:tcPr>
            <w:tcW w:w="410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8"/>
                <w:szCs w:val="18"/>
                <w:color w:val="B4B4B4"/>
              </w:rPr>
              <w:t>............................</w:t>
            </w:r>
          </w:p>
        </w:tc>
        <w:tc>
          <w:tcPr>
            <w:tcW w:w="11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820,027</w:t>
            </w:r>
          </w:p>
        </w:tc>
        <w:tc>
          <w:tcPr>
            <w:tcW w:w="2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Vested and expected to vest, December 31, 2025 </w:t>
            </w:r>
            <w:r>
              <w:rPr>
                <w:rFonts w:ascii="Times New Roman" w:cs="Times New Roman" w:eastAsia="Times New Roman" w:hAnsi="Times New Roman"/>
                <w:sz w:val="20"/>
                <w:szCs w:val="20"/>
                <w:color w:val="B4B4B4"/>
                <w:w w:val="99"/>
              </w:rPr>
              <w:t>..</w:t>
            </w:r>
          </w:p>
        </w:tc>
        <w:tc>
          <w:tcPr>
            <w:tcW w:w="1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820,027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-2356485</wp:posOffset>
            </wp:positionV>
            <wp:extent cx="6254750" cy="2378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2">
                      <a:extLst>
                        <a:ext uri="{28A0092B-C50C-407E-A947-70E740481C1C}"/>
                      </a:extLst>
                    </a:blip>
                    <a:srcRect/>
                    <a:stretch>
                      <a:fillRect/>
                    </a:stretch>
                  </pic:blipFill>
                  <pic:spPr bwMode="auto">
                    <a:xfrm>
                      <a:off x="0" y="0"/>
                      <a:ext cx="6254750" cy="2378075"/>
                    </a:xfrm>
                    <a:prstGeom prst="rect">
                      <a:avLst/>
                    </a:prstGeom>
                    <a:noFill/>
                  </pic:spPr>
                </pic:pic>
              </a:graphicData>
            </a:graphic>
          </wp:anchor>
        </w:drawing>
      </w:r>
    </w:p>
    <w:p>
      <w:pPr>
        <w:spacing w:after="0" w:line="231" w:lineRule="exact"/>
        <w:rPr>
          <w:sz w:val="20"/>
          <w:szCs w:val="20"/>
          <w:color w:val="auto"/>
        </w:rPr>
      </w:pPr>
    </w:p>
    <w:p>
      <w:pPr>
        <w:ind w:right="540" w:firstLine="450"/>
        <w:spacing w:after="0" w:line="272" w:lineRule="auto"/>
        <w:rPr>
          <w:sz w:val="20"/>
          <w:szCs w:val="20"/>
          <w:color w:val="auto"/>
        </w:rPr>
      </w:pPr>
      <w:r>
        <w:rPr>
          <w:rFonts w:ascii="Times New Roman" w:cs="Times New Roman" w:eastAsia="Times New Roman" w:hAnsi="Times New Roman"/>
          <w:sz w:val="19"/>
          <w:szCs w:val="19"/>
          <w:color w:val="auto"/>
        </w:rPr>
        <w:t>The aggregate intrinsic value disclosed in the above table is based on the difference between the exercise price of the stock option and the estimated fair value of the Company’s common stock as of the respective period-end dates. There were 70,252 and 21,974 stock options exercised during the years ended December 31, 2025 and 2024, respectively. The aggregate intrinsic value of stock options exercised was zero and $0.1 million during the years ended December 31, 2025 and 2024, respectively. The weighted-average grant date fair value of stock options granted during the years ended December 31, 2025 and 2024, was $14.13 and $22.85 per share, respectively.</w:t>
      </w:r>
    </w:p>
    <w:p>
      <w:pPr>
        <w:spacing w:after="0" w:line="154" w:lineRule="exact"/>
        <w:rPr>
          <w:sz w:val="20"/>
          <w:szCs w:val="20"/>
          <w:color w:val="auto"/>
        </w:rPr>
      </w:pPr>
    </w:p>
    <w:p>
      <w:pPr>
        <w:ind w:right="48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stock-based compensation included in the Company’s consolidated statements of operations and comprehensive loss (in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6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66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Researchanddevelopmentexpense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w:t>
            </w:r>
          </w:p>
        </w:tc>
      </w:tr>
      <w:tr>
        <w:trPr>
          <w:trHeight w:val="288"/>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General and administrative expense </w:t>
            </w:r>
            <w:r>
              <w:rPr>
                <w:rFonts w:ascii="Times New Roman" w:cs="Times New Roman" w:eastAsia="Times New Roman" w:hAnsi="Times New Roman"/>
                <w:sz w:val="20"/>
                <w:szCs w:val="20"/>
                <w:color w:val="B4B4B4"/>
                <w:w w:val="99"/>
              </w:rPr>
              <w: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15,191</w:t>
            </w:r>
          </w:p>
        </w:tc>
      </w:tr>
      <w:tr>
        <w:trPr>
          <w:trHeight w:val="245"/>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Totalstock-basedcompensationexpense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17,257</w:t>
            </w: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88" w:lineRule="exact"/>
        <w:rPr>
          <w:sz w:val="20"/>
          <w:szCs w:val="20"/>
          <w:color w:val="auto"/>
        </w:rPr>
      </w:pPr>
    </w:p>
    <w:p>
      <w:pPr>
        <w:ind w:right="1000" w:firstLine="450"/>
        <w:spacing w:after="0" w:line="286" w:lineRule="auto"/>
        <w:rPr>
          <w:sz w:val="20"/>
          <w:szCs w:val="20"/>
          <w:color w:val="auto"/>
        </w:rPr>
      </w:pPr>
      <w:r>
        <w:rPr>
          <w:rFonts w:ascii="Times New Roman" w:cs="Times New Roman" w:eastAsia="Times New Roman" w:hAnsi="Times New Roman"/>
          <w:sz w:val="19"/>
          <w:szCs w:val="19"/>
          <w:color w:val="auto"/>
        </w:rPr>
        <w:t>As of December 31, 2025 and 2024, there was $12.6 million and $16.6 million, respectively, of total unrecognized compensation cost related to unvested stock options granted under the 2018 Plan and 2021 Plan, which is expected to be recognized over a weighted average period of 2.35 years and 2.25 years, respectively.</w:t>
      </w:r>
    </w:p>
    <w:p>
      <w:pPr>
        <w:sectPr>
          <w:pgSz w:w="12240" w:h="15840" w:orient="portrait"/>
          <w:cols w:equalWidth="0" w:num="1">
            <w:col w:w="9820"/>
          </w:cols>
          <w:pgMar w:left="1440" w:top="1378" w:right="980" w:bottom="891" w:gutter="0" w:footer="0" w:header="0"/>
        </w:sectPr>
      </w:pPr>
    </w:p>
    <w:bookmarkStart w:id="105" w:name="page106"/>
    <w:bookmarkEnd w:id="105"/>
    <w:p>
      <w:pPr>
        <w:ind w:right="100" w:firstLine="450"/>
        <w:spacing w:after="0" w:line="281" w:lineRule="auto"/>
        <w:rPr>
          <w:sz w:val="20"/>
          <w:szCs w:val="20"/>
          <w:color w:val="auto"/>
        </w:rPr>
      </w:pPr>
      <w:r>
        <w:rPr>
          <w:rFonts w:ascii="Times New Roman" w:cs="Times New Roman" w:eastAsia="Times New Roman" w:hAnsi="Times New Roman"/>
          <w:sz w:val="20"/>
          <w:szCs w:val="20"/>
          <w:color w:val="auto"/>
        </w:rPr>
        <w:t>The fair value of the Company’s stock option awards was estimated at the date of grant using a Black-Scholes option pricing model with the following assumptions:</w:t>
      </w:r>
    </w:p>
    <w:p>
      <w:pPr>
        <w:sectPr>
          <w:pgSz w:w="12240" w:h="15840" w:orient="portrait"/>
          <w:cols w:equalWidth="0" w:num="1">
            <w:col w:w="9360"/>
          </w:cols>
          <w:pgMar w:left="1440" w:top="1378"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Expected term (in years)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Expected volatility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Risk-free interest rate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Fair value of common stock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Expected dividend yield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29845</wp:posOffset>
                </wp:positionV>
                <wp:extent cx="30003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0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35pt" to="236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9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2024</w:t>
            </w:r>
          </w:p>
        </w:tc>
        <w:tc>
          <w:tcPr>
            <w:tcW w:w="960" w:type="dxa"/>
            <w:vAlign w:val="bottom"/>
            <w:tcBorders>
              <w:bottom w:val="single" w:sz="8" w:color="auto"/>
            </w:tcBorders>
          </w:tcPr>
          <w:p>
            <w:pPr>
              <w:spacing w:after="0"/>
              <w:rPr>
                <w:sz w:val="23"/>
                <w:szCs w:val="23"/>
                <w:color w:val="auto"/>
              </w:rPr>
            </w:pPr>
          </w:p>
        </w:tc>
      </w:tr>
      <w:tr>
        <w:trPr>
          <w:trHeight w:val="262"/>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6.08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6.08</w:t>
            </w:r>
          </w:p>
        </w:tc>
      </w:tr>
      <w:tr>
        <w:trPr>
          <w:trHeight w:val="285"/>
        </w:trPr>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98.18 % —</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102.67%</w:t>
            </w:r>
          </w:p>
        </w:tc>
        <w:tc>
          <w:tcPr>
            <w:tcW w:w="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86.92 % —</w:t>
            </w: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100.06%</w:t>
            </w:r>
          </w:p>
        </w:tc>
      </w:tr>
      <w:tr>
        <w:trPr>
          <w:trHeight w:val="285"/>
        </w:trPr>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3.87 % —</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4.19%</w:t>
            </w:r>
          </w:p>
        </w:tc>
        <w:tc>
          <w:tcPr>
            <w:tcW w:w="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3.53 % —</w:t>
            </w: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4.57%</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w:t>
            </w: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$30.33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$10.50</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$66.10</w:t>
            </w:r>
          </w:p>
        </w:tc>
      </w:tr>
      <w:tr>
        <w:trPr>
          <w:trHeight w:val="285"/>
        </w:trPr>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-908685</wp:posOffset>
            </wp:positionV>
            <wp:extent cx="5969000" cy="930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extLst>
                        <a:ext uri="{28A0092B-C50C-407E-A947-70E740481C1C}"/>
                      </a:extLst>
                    </a:blip>
                    <a:srcRect/>
                    <a:stretch>
                      <a:fillRect/>
                    </a:stretch>
                  </pic:blipFill>
                  <pic:spPr bwMode="auto">
                    <a:xfrm>
                      <a:off x="0" y="0"/>
                      <a:ext cx="5969000" cy="93027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580" w:space="60"/>
            <w:col w:w="4720"/>
          </w:cols>
          <w:pgMar w:left="1440" w:top="1378" w:right="1440" w:bottom="1440" w:gutter="0" w:footer="0" w:header="0"/>
          <w:type w:val="continuous"/>
        </w:sectPr>
      </w:pPr>
    </w:p>
    <w:p>
      <w:pPr>
        <w:spacing w:after="0" w:line="51"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20"/>
          <w:szCs w:val="20"/>
          <w:color w:val="auto"/>
        </w:rPr>
        <w:t>The Black-Scholes option pricing model requires the use of highly subjective assumptions which determine the fair value of stock-based awards. These assumptions include:</w:t>
      </w:r>
    </w:p>
    <w:p>
      <w:pPr>
        <w:spacing w:after="0" w:line="58" w:lineRule="exact"/>
        <w:rPr>
          <w:sz w:val="20"/>
          <w:szCs w:val="20"/>
          <w:color w:val="auto"/>
        </w:rPr>
      </w:pPr>
    </w:p>
    <w:p>
      <w:pPr>
        <w:ind w:left="500" w:right="44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Expected term</w:t>
      </w:r>
      <w:r>
        <w:rPr>
          <w:rFonts w:ascii="Times New Roman" w:cs="Times New Roman" w:eastAsia="Times New Roman" w:hAnsi="Times New Roman"/>
          <w:sz w:val="19"/>
          <w:szCs w:val="19"/>
          <w:color w:val="auto"/>
        </w:rPr>
        <w:t>—The expected term represents the period that stock-based awards are expected to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outstanding and is determined as the average of the time-to-vesting and the contractual life of the awards.</w:t>
      </w:r>
    </w:p>
    <w:p>
      <w:pPr>
        <w:spacing w:after="0" w:line="30" w:lineRule="exact"/>
        <w:rPr>
          <w:sz w:val="20"/>
          <w:szCs w:val="20"/>
          <w:color w:val="auto"/>
        </w:rPr>
      </w:pPr>
    </w:p>
    <w:p>
      <w:pPr>
        <w:ind w:left="500" w:right="18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Expected volatility</w:t>
      </w:r>
      <w:r>
        <w:rPr>
          <w:rFonts w:ascii="Times New Roman" w:cs="Times New Roman" w:eastAsia="Times New Roman" w:hAnsi="Times New Roman"/>
          <w:sz w:val="19"/>
          <w:szCs w:val="19"/>
          <w:color w:val="auto"/>
        </w:rPr>
        <w:t>—Since the Company is privately held and does not have any trading history for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common stock, the 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60" w:lineRule="exact"/>
        <w:rPr>
          <w:sz w:val="20"/>
          <w:szCs w:val="20"/>
          <w:color w:val="auto"/>
        </w:rPr>
      </w:pPr>
    </w:p>
    <w:p>
      <w:pPr>
        <w:ind w:left="500" w:right="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Risk-free interest rate</w:t>
      </w:r>
      <w:r>
        <w:rPr>
          <w:rFonts w:ascii="Times New Roman" w:cs="Times New Roman" w:eastAsia="Times New Roman" w:hAnsi="Times New Roman"/>
          <w:sz w:val="20"/>
          <w:szCs w:val="20"/>
          <w:color w:val="auto"/>
        </w:rPr>
        <w:t>—The risk-free interest rate is based on the U.S. Treasury zero coupon issues in effect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time of grant for periods corresponding with the expected term of awards.</w:t>
      </w:r>
    </w:p>
    <w:p>
      <w:pPr>
        <w:spacing w:after="0" w:line="54" w:lineRule="exact"/>
        <w:rPr>
          <w:sz w:val="20"/>
          <w:szCs w:val="20"/>
          <w:color w:val="auto"/>
        </w:rPr>
      </w:pPr>
    </w:p>
    <w:p>
      <w:pPr>
        <w:ind w:left="500" w:right="3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Expected dividend yield</w:t>
      </w:r>
      <w:r>
        <w:rPr>
          <w:rFonts w:ascii="Times New Roman" w:cs="Times New Roman" w:eastAsia="Times New Roman" w:hAnsi="Times New Roman"/>
          <w:sz w:val="20"/>
          <w:szCs w:val="20"/>
          <w:color w:val="auto"/>
        </w:rPr>
        <w:t>—The Company has never paid dividends on its common stock and has no plans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 dividends on its common stock. Therefore, the Company used an expected dividend yield of zero.</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1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In March 2021, the Company adopted the Employee Stock Purchase Plan (the “ESPP”), which became effective in connection with the IPO. The ESPP was adopted by the Board of Directors and stockholders in March 2021, but the Company has not yet commenced offerings to employees under the ESPP. The ESPP initially provides participating employees with the opportunity to purchase up to an aggregate of 61,850 shares of common stock. The number of shares reserved under the ESPP automatically increases on January 1 of each year through and until January 1, 2031, in an amount equal to the lesser of (i) 1% of the total number of shares of common stock outstanding on December 31 of the preceding calendar year, and (ii) 123,700 shares; provided, however, that before the date of any such increase, the Board of Directors may determine that such increase will be less than the amount set forth in clauses (i) and (ii).</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Per Share</w:t>
      </w:r>
    </w:p>
    <w:p>
      <w:pPr>
        <w:spacing w:after="0" w:line="217" w:lineRule="exact"/>
        <w:rPr>
          <w:sz w:val="20"/>
          <w:szCs w:val="20"/>
          <w:color w:val="auto"/>
        </w:rPr>
      </w:pPr>
    </w:p>
    <w:p>
      <w:pPr>
        <w:ind w:right="280" w:firstLine="450"/>
        <w:spacing w:after="0" w:line="281" w:lineRule="auto"/>
        <w:rPr>
          <w:sz w:val="20"/>
          <w:szCs w:val="20"/>
          <w:color w:val="auto"/>
        </w:rPr>
      </w:pPr>
      <w:r>
        <w:rPr>
          <w:rFonts w:ascii="Times New Roman" w:cs="Times New Roman" w:eastAsia="Times New Roman" w:hAnsi="Times New Roman"/>
          <w:sz w:val="20"/>
          <w:szCs w:val="20"/>
          <w:color w:val="auto"/>
        </w:rPr>
        <w:t>The following outstanding potentially dilutive shares have been excluded from the calculation of diluted net loss per share for the periods presented due to their anti-dilutive effect:</w:t>
      </w:r>
    </w:p>
    <w:p>
      <w:pPr>
        <w:spacing w:after="0" w:line="1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4076700</wp:posOffset>
                </wp:positionH>
                <wp:positionV relativeFrom="paragraph">
                  <wp:posOffset>29845</wp:posOffset>
                </wp:positionV>
                <wp:extent cx="18669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2.35pt" to="468pt,2.35pt" o:allowincell="f" strokecolor="#000000" strokeweight="1pt"/>
            </w:pict>
          </mc:Fallback>
        </mc:AlternateConten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360" w:type="dxa"/>
            <w:vAlign w:val="bottom"/>
          </w:tcPr>
          <w:p>
            <w:pPr>
              <w:spacing w:after="0"/>
              <w:rPr>
                <w:sz w:val="23"/>
                <w:szCs w:val="23"/>
                <w:color w:val="auto"/>
              </w:rPr>
            </w:pPr>
          </w:p>
        </w:tc>
        <w:tc>
          <w:tcPr>
            <w:tcW w:w="14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4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Stockoptionstopurchasecommonstock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1,537,107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1,249,459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5969000"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5">
                      <a:extLst>
                        <a:ext uri="{28A0092B-C50C-407E-A947-70E740481C1C}"/>
                      </a:extLst>
                    </a:blip>
                    <a:srcRect/>
                    <a:stretch>
                      <a:fillRect/>
                    </a:stretch>
                  </pic:blipFill>
                  <pic:spPr bwMode="auto">
                    <a:xfrm>
                      <a:off x="0" y="0"/>
                      <a:ext cx="5969000" cy="206375"/>
                    </a:xfrm>
                    <a:prstGeom prst="rect">
                      <a:avLst/>
                    </a:prstGeom>
                    <a:noFill/>
                  </pic:spPr>
                </pic:pic>
              </a:graphicData>
            </a:graphic>
          </wp:anchor>
        </w:drawing>
      </w:r>
    </w:p>
    <w:p>
      <w:pPr>
        <w:sectPr>
          <w:pgSz w:w="12240" w:h="15840" w:orient="portrait"/>
          <w:cols w:equalWidth="0" w:num="1">
            <w:col w:w="9360"/>
          </w:cols>
          <w:pgMar w:left="1440" w:top="1378" w:right="1440"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geographical breakdown of loss before provision for income taxes is as follows (in thousands):</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3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63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2"/>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Domestic</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(69,021)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(60,382)</w:t>
            </w:r>
          </w:p>
        </w:tc>
      </w:tr>
      <w:tr>
        <w:trPr>
          <w:trHeight w:val="288"/>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Foreign </w:t>
            </w:r>
            <w:r>
              <w:rPr>
                <w:rFonts w:ascii="Times New Roman" w:cs="Times New Roman" w:eastAsia="Times New Roman" w:hAnsi="Times New Roman"/>
                <w:sz w:val="20"/>
                <w:szCs w:val="20"/>
                <w:color w:val="B4B4B4"/>
                <w:w w:val="99"/>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(13,753)</w:t>
            </w:r>
          </w:p>
        </w:tc>
      </w:tr>
      <w:tr>
        <w:trPr>
          <w:trHeight w:val="24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Lossbeforeincometaxes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(74,135)</w:t>
            </w:r>
          </w:p>
        </w:tc>
      </w:tr>
      <w:tr>
        <w:trPr>
          <w:trHeight w:val="20"/>
        </w:trPr>
        <w:tc>
          <w:tcPr>
            <w:tcW w:w="6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6">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88" w:lineRule="exact"/>
        <w:rPr>
          <w:sz w:val="20"/>
          <w:szCs w:val="20"/>
          <w:color w:val="auto"/>
        </w:rPr>
      </w:pPr>
    </w:p>
    <w:p>
      <w:pPr>
        <w:ind w:right="520" w:firstLine="450"/>
        <w:spacing w:after="0" w:line="281" w:lineRule="auto"/>
        <w:rPr>
          <w:sz w:val="20"/>
          <w:szCs w:val="20"/>
          <w:color w:val="auto"/>
        </w:rPr>
      </w:pPr>
      <w:r>
        <w:rPr>
          <w:rFonts w:ascii="Times New Roman" w:cs="Times New Roman" w:eastAsia="Times New Roman" w:hAnsi="Times New Roman"/>
          <w:sz w:val="20"/>
          <w:szCs w:val="20"/>
          <w:color w:val="auto"/>
        </w:rPr>
        <w:t>The Company had no income tax expense for both domestic and foreign jurisdictions for the years ended December 31, 2025 and 2024.</w:t>
      </w:r>
    </w:p>
    <w:p>
      <w:pPr>
        <w:spacing w:after="0" w:line="41"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A reconciliation of the provision for income taxes to the amount computed by applying the 21% statutory U.S. federal income tax rate to income before income taxes after the adoption of ASU 2023-09 is as follows (in thousands, except percentages):</w:t>
      </w:r>
    </w:p>
    <w:p>
      <w:pPr>
        <w:spacing w:after="0" w:line="12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4000500</wp:posOffset>
                </wp:positionH>
                <wp:positionV relativeFrom="paragraph">
                  <wp:posOffset>29845</wp:posOffset>
                </wp:positionV>
                <wp:extent cx="19431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2.35pt" to="468pt,2.35pt" o:allowincell="f" strokecolor="#000000" strokeweight="1pt"/>
            </w:pict>
          </mc:Fallback>
        </mc:AlternateContent>
      </w:r>
    </w:p>
    <w:p>
      <w:pPr>
        <w:sectPr>
          <w:pgSz w:w="12240" w:h="15840" w:orient="portrait"/>
          <w:cols w:equalWidth="0" w:num="1">
            <w:col w:w="9360"/>
          </w:cols>
          <w:pgMar w:left="1440" w:top="1371" w:right="1440" w:bottom="1440" w:gutter="0" w:footer="0" w:header="0"/>
        </w:sect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U.S. federal taxes at statutory rate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-144780</wp:posOffset>
            </wp:positionV>
            <wp:extent cx="5981700" cy="2222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7">
                      <a:extLst>
                        <a:ext uri="{28A0092B-C50C-407E-A947-70E740481C1C}"/>
                      </a:extLst>
                    </a:blip>
                    <a:srcRect/>
                    <a:stretch>
                      <a:fillRect/>
                    </a:stretch>
                  </pic:blipFill>
                  <pic:spPr bwMode="auto">
                    <a:xfrm>
                      <a:off x="0" y="0"/>
                      <a:ext cx="5981700" cy="222250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Foreign tax effects: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United Kingdom:</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 xml:space="preserve">Stock-based compensation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State and local income taxes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Nontaxable or non-deductible items: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 Amount</w:t>
      </w:r>
      <w:r>
        <w:rPr>
          <w:sz w:val="20"/>
          <w:szCs w:val="20"/>
          <w:color w:val="auto"/>
        </w:rPr>
        <w:tab/>
      </w:r>
      <w:r>
        <w:rPr>
          <w:rFonts w:ascii="Times New Roman" w:cs="Times New Roman" w:eastAsia="Times New Roman" w:hAnsi="Times New Roman"/>
          <w:sz w:val="20"/>
          <w:szCs w:val="20"/>
          <w:b w:val="1"/>
          <w:bCs w:val="1"/>
          <w:color w:val="auto"/>
        </w:rPr>
        <w:t>%</w:t>
      </w:r>
    </w:p>
    <w:p>
      <w:pPr>
        <w:spacing w:after="0" w:line="59" w:lineRule="exact"/>
        <w:rPr>
          <w:sz w:val="20"/>
          <w:szCs w:val="20"/>
          <w:color w:val="auto"/>
        </w:rPr>
      </w:pPr>
    </w:p>
    <w:p>
      <w:pPr>
        <w:jc w:val="both"/>
        <w:ind w:left="480"/>
        <w:spacing w:after="0"/>
        <w:tabs>
          <w:tab w:leader="none" w:pos="2120" w:val="left"/>
        </w:tabs>
        <w:rPr>
          <w:sz w:val="20"/>
          <w:szCs w:val="20"/>
          <w:color w:val="auto"/>
        </w:rPr>
      </w:pPr>
      <w:r>
        <w:rPr>
          <w:rFonts w:ascii="Times New Roman" w:cs="Times New Roman" w:eastAsia="Times New Roman" w:hAnsi="Times New Roman"/>
          <w:sz w:val="20"/>
          <w:szCs w:val="20"/>
          <w:color w:val="auto"/>
        </w:rPr>
        <w:t>(14,980)</w:t>
      </w:r>
      <w:r>
        <w:rPr>
          <w:sz w:val="20"/>
          <w:szCs w:val="20"/>
          <w:color w:val="auto"/>
        </w:rPr>
        <w:tab/>
      </w:r>
      <w:r>
        <w:rPr>
          <w:rFonts w:ascii="Times New Roman" w:cs="Times New Roman" w:eastAsia="Times New Roman" w:hAnsi="Times New Roman"/>
          <w:sz w:val="20"/>
          <w:szCs w:val="20"/>
          <w:color w:val="auto"/>
        </w:rPr>
        <w:t>21.0 %</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40"/>
        <w:spacing w:after="0"/>
        <w:tabs>
          <w:tab w:leader="none" w:pos="216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(1.5)%</w:t>
      </w:r>
    </w:p>
    <w:p>
      <w:pPr>
        <w:spacing w:after="0" w:line="55" w:lineRule="exact"/>
        <w:rPr>
          <w:sz w:val="20"/>
          <w:szCs w:val="20"/>
          <w:color w:val="auto"/>
        </w:rPr>
      </w:pPr>
    </w:p>
    <w:p>
      <w:pPr>
        <w:ind w:left="2240" w:hanging="1508"/>
        <w:spacing w:after="0"/>
        <w:tabs>
          <w:tab w:leader="none" w:pos="2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0.8 %</w:t>
      </w:r>
    </w:p>
    <w:p>
      <w:pPr>
        <w:spacing w:after="0" w:line="55"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319" w:lineRule="exact"/>
        <w:rPr>
          <w:sz w:val="20"/>
          <w:szCs w:val="20"/>
          <w:color w:val="auto"/>
        </w:rPr>
      </w:pPr>
    </w:p>
    <w:p>
      <w:pPr>
        <w:sectPr>
          <w:pgSz w:w="12240" w:h="15840" w:orient="portrait"/>
          <w:cols w:equalWidth="0" w:num="2">
            <w:col w:w="6240" w:space="380"/>
            <w:col w:w="2740"/>
          </w:cols>
          <w:pgMar w:left="1440" w:top="1371" w:right="1440" w:bottom="1440" w:gutter="0" w:footer="0" w:header="0"/>
          <w:type w:val="continuous"/>
        </w:sectPr>
      </w:pPr>
    </w:p>
    <w:tbl>
      <w:tblPr>
        <w:tblLayout w:type="fixed"/>
        <w:tblInd w:w="60" w:type="dxa"/>
        <w:tblCellMar>
          <w:top w:w="0" w:type="dxa"/>
          <w:left w:w="0" w:type="dxa"/>
          <w:bottom w:w="0" w:type="dxa"/>
          <w:right w:w="0" w:type="dxa"/>
        </w:tblCellMar>
      </w:tblPr>
      <w:tr>
        <w:trPr>
          <w:trHeight w:val="281"/>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Stock-based compensation </w:t>
            </w:r>
            <w:r>
              <w:rPr>
                <w:rFonts w:ascii="Times New Roman" w:cs="Times New Roman" w:eastAsia="Times New Roman" w:hAnsi="Times New Roman"/>
                <w:sz w:val="20"/>
                <w:szCs w:val="20"/>
                <w:color w:val="B4B4B4"/>
              </w:rPr>
              <w: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85"/>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0.2 %</w:t>
            </w:r>
          </w:p>
        </w:tc>
      </w:tr>
      <w:tr>
        <w:trPr>
          <w:trHeight w:val="285"/>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Changes in valuation allowance </w:t>
            </w:r>
            <w:r>
              <w:rPr>
                <w:rFonts w:ascii="Times New Roman" w:cs="Times New Roman" w:eastAsia="Times New Roman" w:hAnsi="Times New Roman"/>
                <w:sz w:val="20"/>
                <w:szCs w:val="20"/>
                <w:color w:val="B4B4B4"/>
                <w:w w:val="99"/>
              </w:rPr>
              <w: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88"/>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Other </w:t>
            </w:r>
            <w:r>
              <w:rPr>
                <w:rFonts w:ascii="Times New Roman" w:cs="Times New Roman" w:eastAsia="Times New Roman" w:hAnsi="Times New Roman"/>
                <w:sz w:val="20"/>
                <w:szCs w:val="20"/>
                <w:color w:val="B4B4B4"/>
                <w:w w:val="99"/>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5"/>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Totalincometaxexpenseandeffectivetaxrate</w:t>
            </w:r>
          </w:p>
        </w:tc>
        <w:tc>
          <w:tcPr>
            <w:tcW w:w="5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0"/>
        </w:trPr>
        <w:tc>
          <w:tcPr>
            <w:tcW w:w="6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A reconciliation of the provision for income taxes to the amount computed by applying the 21% statutory U.S. federal income tax rate to income before income taxes for the year prior to the adoption of ASU 2023-09 is as follows:</w:t>
      </w:r>
    </w:p>
    <w:p>
      <w:pPr>
        <w:sectPr>
          <w:pgSz w:w="12240" w:h="15840" w:orient="portrait"/>
          <w:cols w:equalWidth="0" w:num="1">
            <w:col w:w="9360"/>
          </w:cols>
          <w:pgMar w:left="1440" w:top="1371"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U.S. federal taxes at statutory rate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-144780</wp:posOffset>
            </wp:positionV>
            <wp:extent cx="5981700" cy="11366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Stock-based compensation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Permanent differences and other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Statutory tax rate differences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Change in valuation allowance </w:t>
      </w:r>
      <w:r>
        <w:rPr>
          <w:rFonts w:ascii="Times New Roman" w:cs="Times New Roman" w:eastAsia="Times New Roman" w:hAnsi="Times New Roman"/>
          <w:sz w:val="19"/>
          <w:szCs w:val="19"/>
          <w:color w:val="B4B4B4"/>
        </w:rPr>
        <w:t>...................................................................................</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00"/>
        <w:spacing w:after="0" w:line="299" w:lineRule="auto"/>
        <w:rPr>
          <w:sz w:val="20"/>
          <w:szCs w:val="20"/>
          <w:color w:val="auto"/>
        </w:rPr>
      </w:pPr>
      <w:r>
        <w:rPr>
          <w:rFonts w:ascii="Times New Roman" w:cs="Times New Roman" w:eastAsia="Times New Roman" w:hAnsi="Times New Roman"/>
          <w:sz w:val="20"/>
          <w:szCs w:val="20"/>
          <w:b w:val="1"/>
          <w:bCs w:val="1"/>
          <w:color w:val="auto"/>
        </w:rPr>
        <w:t>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-117475</wp:posOffset>
                </wp:positionH>
                <wp:positionV relativeFrom="paragraph">
                  <wp:posOffset>-187325</wp:posOffset>
                </wp:positionV>
                <wp:extent cx="16668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6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99pt,-14.7499pt" to="122pt,-14.7499pt" o:allowincell="f" strokecolor="#000000" strokeweight="1pt"/>
            </w:pict>
          </mc:Fallback>
        </mc:AlternateContent>
      </w:r>
    </w:p>
    <w:p>
      <w:pPr>
        <w:jc w:val="right"/>
        <w:ind w:right="20"/>
        <w:spacing w:after="0"/>
        <w:rPr>
          <w:sz w:val="20"/>
          <w:szCs w:val="20"/>
          <w:color w:val="auto"/>
        </w:rPr>
      </w:pPr>
      <w:r>
        <w:rPr>
          <w:rFonts w:ascii="Times New Roman" w:cs="Times New Roman" w:eastAsia="Times New Roman" w:hAnsi="Times New Roman"/>
          <w:sz w:val="20"/>
          <w:szCs w:val="20"/>
          <w:color w:val="auto"/>
        </w:rPr>
        <w:t>21.0 %</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(6.7)%</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0.3 %</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4.4 %</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(19.0)%</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 %</w:t>
      </w:r>
    </w:p>
    <w:p>
      <w:pPr>
        <w:sectPr>
          <w:pgSz w:w="12240" w:h="15840" w:orient="portrait"/>
          <w:cols w:equalWidth="0" w:num="2">
            <w:col w:w="6680" w:space="240"/>
            <w:col w:w="2440"/>
          </w:cols>
          <w:pgMar w:left="1440" w:top="1371"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20"/>
          <w:szCs w:val="20"/>
          <w:color w:val="auto"/>
        </w:rPr>
        <w:t>The components of deferred tax liabilities consist of the following (in thousands):</w:t>
      </w:r>
    </w:p>
    <w:p>
      <w:pPr>
        <w:spacing w:after="0" w:line="7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4076700</wp:posOffset>
                </wp:positionH>
                <wp:positionV relativeFrom="paragraph">
                  <wp:posOffset>29845</wp:posOffset>
                </wp:positionV>
                <wp:extent cx="18669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2.35pt" to="468pt,2.35pt" o:allowincell="f" strokecolor="#000000" strokeweight="1pt"/>
            </w:pict>
          </mc:Fallback>
        </mc:AlternateContent>
      </w:r>
    </w:p>
    <w:p>
      <w:pPr>
        <w:spacing w:after="0" w:line="35" w:lineRule="exact"/>
        <w:rPr>
          <w:sz w:val="20"/>
          <w:szCs w:val="20"/>
          <w:color w:val="auto"/>
        </w:rPr>
      </w:pPr>
    </w:p>
    <w:p>
      <w:pPr>
        <w:ind w:left="6940"/>
        <w:spacing w:after="0"/>
        <w:tabs>
          <w:tab w:leader="none" w:pos="842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5981700" cy="3127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9">
                      <a:extLst>
                        <a:ext uri="{28A0092B-C50C-407E-A947-70E740481C1C}"/>
                      </a:extLst>
                    </a:blip>
                    <a:srcRect/>
                    <a:stretch>
                      <a:fillRect/>
                    </a:stretch>
                  </pic:blipFill>
                  <pic:spPr bwMode="auto">
                    <a:xfrm>
                      <a:off x="0" y="0"/>
                      <a:ext cx="5981700" cy="312737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Deferred tax assets:</w:t>
      </w:r>
    </w:p>
    <w:p>
      <w:pPr>
        <w:sectPr>
          <w:pgSz w:w="12240" w:h="15840" w:orient="portrait"/>
          <w:cols w:equalWidth="0" w:num="1">
            <w:col w:w="9360"/>
          </w:cols>
          <w:pgMar w:left="1440" w:top="1378" w:right="1440" w:bottom="1054" w:gutter="0" w:footer="0" w:header="0"/>
        </w:sectPr>
      </w:pP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operating loss carryforwards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credits </w:t>
            </w:r>
            <w:r>
              <w:rPr>
                <w:rFonts w:ascii="Times New Roman" w:cs="Times New Roman" w:eastAsia="Times New Roman" w:hAnsi="Times New Roman"/>
                <w:sz w:val="20"/>
                <w:szCs w:val="20"/>
                <w:color w:val="B4B4B4"/>
              </w:rPr>
              <w:t>..................................................................</w:t>
            </w:r>
          </w:p>
        </w:tc>
        <w:tc>
          <w:tcPr>
            <w:tcW w:w="160" w:type="dxa"/>
            <w:vAlign w:val="bottom"/>
          </w:tcPr>
          <w:p>
            <w:pPr>
              <w:spacing w:after="0"/>
              <w:rPr>
                <w:sz w:val="22"/>
                <w:szCs w:val="22"/>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compensation and benefits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Stock-based compensation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Capitalized research and development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temporary differences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Intangible assets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Fixed assets</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gross deferred tax assets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Less: valuation allowance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deferred tax assets, net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6360" w:type="dxa"/>
            <w:vAlign w:val="bottom"/>
          </w:tcPr>
          <w:p>
            <w:pPr>
              <w:jc w:val="right"/>
              <w:ind w:right="4420"/>
              <w:spacing w:after="0"/>
              <w:rPr>
                <w:sz w:val="20"/>
                <w:szCs w:val="20"/>
                <w:color w:val="auto"/>
              </w:rPr>
            </w:pPr>
            <w:r>
              <w:rPr>
                <w:rFonts w:ascii="Times New Roman" w:cs="Times New Roman" w:eastAsia="Times New Roman" w:hAnsi="Times New Roman"/>
                <w:sz w:val="20"/>
                <w:szCs w:val="20"/>
                <w:color w:val="auto"/>
                <w:w w:val="98"/>
              </w:rPr>
              <w:t>Deferred tax liabilities:</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60"/>
        <w:spacing w:after="0"/>
        <w:tabs>
          <w:tab w:leader="none" w:pos="900" w:val="left"/>
          <w:tab w:leader="none" w:pos="1640" w:val="left"/>
        </w:tabs>
        <w:rPr>
          <w:sz w:val="20"/>
          <w:szCs w:val="20"/>
          <w:color w:val="auto"/>
        </w:rPr>
      </w:pPr>
      <w:r>
        <w:rPr>
          <w:rFonts w:ascii="Times New Roman" w:cs="Times New Roman" w:eastAsia="Times New Roman" w:hAnsi="Times New Roman"/>
          <w:sz w:val="20"/>
          <w:szCs w:val="20"/>
          <w:color w:val="auto"/>
        </w:rPr>
        <w:t>109,397</w:t>
        <w:tab/>
        <w:t>$</w:t>
      </w:r>
      <w:r>
        <w:rPr>
          <w:sz w:val="20"/>
          <w:szCs w:val="20"/>
          <w:color w:val="auto"/>
        </w:rPr>
        <w:tab/>
      </w:r>
      <w:r>
        <w:rPr>
          <w:rFonts w:ascii="Times New Roman" w:cs="Times New Roman" w:eastAsia="Times New Roman" w:hAnsi="Times New Roman"/>
          <w:sz w:val="20"/>
          <w:szCs w:val="20"/>
          <w:color w:val="auto"/>
        </w:rPr>
        <w:t>95,773</w:t>
      </w:r>
    </w:p>
    <w:p>
      <w:pPr>
        <w:spacing w:after="0" w:line="55" w:lineRule="exact"/>
        <w:rPr>
          <w:sz w:val="20"/>
          <w:szCs w:val="20"/>
          <w:color w:val="auto"/>
        </w:rPr>
      </w:pPr>
    </w:p>
    <w:p>
      <w:pPr>
        <w:ind w:left="260"/>
        <w:spacing w:after="0"/>
        <w:tabs>
          <w:tab w:leader="none" w:pos="1740" w:val="left"/>
        </w:tabs>
        <w:rPr>
          <w:sz w:val="20"/>
          <w:szCs w:val="20"/>
          <w:color w:val="auto"/>
        </w:rPr>
      </w:pPr>
      <w:r>
        <w:rPr>
          <w:rFonts w:ascii="Times New Roman" w:cs="Times New Roman" w:eastAsia="Times New Roman" w:hAnsi="Times New Roman"/>
          <w:sz w:val="20"/>
          <w:szCs w:val="20"/>
          <w:color w:val="auto"/>
        </w:rPr>
        <w:t>4,915</w:t>
      </w:r>
      <w:r>
        <w:rPr>
          <w:sz w:val="20"/>
          <w:szCs w:val="20"/>
          <w:color w:val="auto"/>
        </w:rPr>
        <w:tab/>
      </w:r>
      <w:r>
        <w:rPr>
          <w:rFonts w:ascii="Times New Roman" w:cs="Times New Roman" w:eastAsia="Times New Roman" w:hAnsi="Times New Roman"/>
          <w:sz w:val="20"/>
          <w:szCs w:val="20"/>
          <w:color w:val="auto"/>
        </w:rPr>
        <w:t>4,915</w:t>
      </w:r>
    </w:p>
    <w:p>
      <w:pPr>
        <w:spacing w:after="0" w:line="55" w:lineRule="exact"/>
        <w:rPr>
          <w:sz w:val="20"/>
          <w:szCs w:val="20"/>
          <w:color w:val="auto"/>
        </w:rPr>
      </w:pPr>
    </w:p>
    <w:p>
      <w:pPr>
        <w:ind w:left="1920" w:hanging="1502"/>
        <w:spacing w:after="0"/>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646</w:t>
      </w:r>
    </w:p>
    <w:p>
      <w:pPr>
        <w:spacing w:after="0" w:line="55" w:lineRule="exact"/>
        <w:rPr>
          <w:rFonts w:ascii="Times New Roman" w:cs="Times New Roman" w:eastAsia="Times New Roman" w:hAnsi="Times New Roman"/>
          <w:sz w:val="20"/>
          <w:szCs w:val="20"/>
          <w:color w:val="auto"/>
        </w:rPr>
      </w:pPr>
    </w:p>
    <w:p>
      <w:pPr>
        <w:ind w:left="1760" w:hanging="1342"/>
        <w:spacing w:after="0"/>
        <w:tabs>
          <w:tab w:leader="none" w:pos="1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2,008</w:t>
      </w:r>
    </w:p>
    <w:p>
      <w:pPr>
        <w:spacing w:after="0" w:line="55"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0"/>
          <w:szCs w:val="20"/>
          <w:color w:val="auto"/>
        </w:rPr>
        <w:t>18,277</w:t>
      </w:r>
      <w:r>
        <w:rPr>
          <w:sz w:val="20"/>
          <w:szCs w:val="20"/>
          <w:color w:val="auto"/>
        </w:rPr>
        <w:tab/>
      </w:r>
      <w:r>
        <w:rPr>
          <w:rFonts w:ascii="Times New Roman" w:cs="Times New Roman" w:eastAsia="Times New Roman" w:hAnsi="Times New Roman"/>
          <w:sz w:val="20"/>
          <w:szCs w:val="20"/>
          <w:color w:val="auto"/>
        </w:rPr>
        <w:t>20,920</w:t>
      </w:r>
    </w:p>
    <w:p>
      <w:pPr>
        <w:spacing w:after="0" w:line="55" w:lineRule="exact"/>
        <w:rPr>
          <w:sz w:val="20"/>
          <w:szCs w:val="20"/>
          <w:color w:val="auto"/>
        </w:rPr>
      </w:pPr>
    </w:p>
    <w:p>
      <w:pPr>
        <w:ind w:left="260"/>
        <w:spacing w:after="0"/>
        <w:tabs>
          <w:tab w:leader="none" w:pos="1640" w:val="left"/>
        </w:tabs>
        <w:rPr>
          <w:sz w:val="20"/>
          <w:szCs w:val="20"/>
          <w:color w:val="auto"/>
        </w:rPr>
      </w:pPr>
      <w:r>
        <w:rPr>
          <w:rFonts w:ascii="Times New Roman" w:cs="Times New Roman" w:eastAsia="Times New Roman" w:hAnsi="Times New Roman"/>
          <w:sz w:val="20"/>
          <w:szCs w:val="20"/>
          <w:color w:val="auto"/>
        </w:rPr>
        <w:t>9,270</w:t>
      </w:r>
      <w:r>
        <w:rPr>
          <w:sz w:val="20"/>
          <w:szCs w:val="20"/>
          <w:color w:val="auto"/>
        </w:rPr>
        <w:tab/>
      </w:r>
      <w:r>
        <w:rPr>
          <w:rFonts w:ascii="Times New Roman" w:cs="Times New Roman" w:eastAsia="Times New Roman" w:hAnsi="Times New Roman"/>
          <w:sz w:val="20"/>
          <w:szCs w:val="20"/>
          <w:color w:val="auto"/>
        </w:rPr>
        <w:t>10,201</w:t>
      </w:r>
    </w:p>
    <w:p>
      <w:pPr>
        <w:spacing w:after="0" w:line="55" w:lineRule="exact"/>
        <w:rPr>
          <w:sz w:val="20"/>
          <w:szCs w:val="20"/>
          <w:color w:val="auto"/>
        </w:rPr>
      </w:pPr>
    </w:p>
    <w:p>
      <w:pPr>
        <w:ind w:left="260"/>
        <w:spacing w:after="0"/>
        <w:tabs>
          <w:tab w:leader="none" w:pos="1740" w:val="left"/>
        </w:tabs>
        <w:rPr>
          <w:sz w:val="20"/>
          <w:szCs w:val="20"/>
          <w:color w:val="auto"/>
        </w:rPr>
      </w:pPr>
      <w:r>
        <w:rPr>
          <w:rFonts w:ascii="Times New Roman" w:cs="Times New Roman" w:eastAsia="Times New Roman" w:hAnsi="Times New Roman"/>
          <w:sz w:val="20"/>
          <w:szCs w:val="20"/>
          <w:color w:val="auto"/>
        </w:rPr>
        <w:t>5,347</w:t>
      </w:r>
      <w:r>
        <w:rPr>
          <w:sz w:val="20"/>
          <w:szCs w:val="20"/>
          <w:color w:val="auto"/>
        </w:rPr>
        <w:tab/>
      </w:r>
      <w:r>
        <w:rPr>
          <w:rFonts w:ascii="Times New Roman" w:cs="Times New Roman" w:eastAsia="Times New Roman" w:hAnsi="Times New Roman"/>
          <w:sz w:val="20"/>
          <w:szCs w:val="20"/>
          <w:color w:val="auto"/>
        </w:rPr>
        <w:t>2,841</w:t>
      </w:r>
    </w:p>
    <w:p>
      <w:pPr>
        <w:spacing w:after="0" w:line="55" w:lineRule="exact"/>
        <w:rPr>
          <w:sz w:val="20"/>
          <w:szCs w:val="20"/>
          <w:color w:val="auto"/>
        </w:rPr>
      </w:pPr>
    </w:p>
    <w:p>
      <w:pPr>
        <w:ind w:left="260"/>
        <w:spacing w:after="0"/>
        <w:tabs>
          <w:tab w:leader="none" w:pos="1740" w:val="left"/>
        </w:tabs>
        <w:rPr>
          <w:sz w:val="20"/>
          <w:szCs w:val="20"/>
          <w:color w:val="auto"/>
        </w:rPr>
      </w:pPr>
      <w:r>
        <w:rPr>
          <w:rFonts w:ascii="Times New Roman" w:cs="Times New Roman" w:eastAsia="Times New Roman" w:hAnsi="Times New Roman"/>
          <w:sz w:val="20"/>
          <w:szCs w:val="20"/>
          <w:color w:val="auto"/>
        </w:rPr>
        <w:t>6,883</w:t>
      </w:r>
      <w:r>
        <w:rPr>
          <w:sz w:val="20"/>
          <w:szCs w:val="20"/>
          <w:color w:val="auto"/>
        </w:rPr>
        <w:tab/>
      </w:r>
      <w:r>
        <w:rPr>
          <w:rFonts w:ascii="Times New Roman" w:cs="Times New Roman" w:eastAsia="Times New Roman" w:hAnsi="Times New Roman"/>
          <w:sz w:val="20"/>
          <w:szCs w:val="20"/>
          <w:color w:val="auto"/>
        </w:rPr>
        <w:t>4,827</w:t>
      </w:r>
    </w:p>
    <w:p>
      <w:pPr>
        <w:spacing w:after="0" w:line="55" w:lineRule="exact"/>
        <w:rPr>
          <w:sz w:val="20"/>
          <w:szCs w:val="20"/>
          <w:color w:val="auto"/>
        </w:rPr>
      </w:pPr>
    </w:p>
    <w:p>
      <w:pPr>
        <w:ind w:left="1920" w:hanging="1502"/>
        <w:spacing w:after="0"/>
        <w:tabs>
          <w:tab w:leader="none" w:pos="19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w:t>
      </w:r>
    </w:p>
    <w:p>
      <w:pPr>
        <w:spacing w:after="0" w:line="55" w:lineRule="exact"/>
        <w:rPr>
          <w:rFonts w:ascii="Times New Roman" w:cs="Times New Roman" w:eastAsia="Times New Roman" w:hAnsi="Times New Roman"/>
          <w:sz w:val="20"/>
          <w:szCs w:val="20"/>
          <w:color w:val="auto"/>
        </w:rPr>
      </w:pP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156,043142,557</w:t>
      </w:r>
    </w:p>
    <w:p>
      <w:pPr>
        <w:spacing w:after="0" w:line="5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color w:val="auto"/>
        </w:rPr>
        <w:t>(153,905)</w:t>
      </w:r>
      <w:r>
        <w:rPr>
          <w:sz w:val="20"/>
          <w:szCs w:val="20"/>
          <w:color w:val="auto"/>
        </w:rPr>
        <w:tab/>
      </w:r>
      <w:r>
        <w:rPr>
          <w:rFonts w:ascii="Times New Roman" w:cs="Times New Roman" w:eastAsia="Times New Roman" w:hAnsi="Times New Roman"/>
          <w:sz w:val="19"/>
          <w:szCs w:val="19"/>
          <w:color w:val="auto"/>
        </w:rPr>
        <w:t>(141,367)</w:t>
      </w:r>
    </w:p>
    <w:p>
      <w:pPr>
        <w:spacing w:after="0" w:line="67" w:lineRule="exact"/>
        <w:rPr>
          <w:sz w:val="20"/>
          <w:szCs w:val="20"/>
          <w:color w:val="auto"/>
        </w:rPr>
      </w:pPr>
    </w:p>
    <w:p>
      <w:pPr>
        <w:ind w:left="260"/>
        <w:spacing w:after="0"/>
        <w:tabs>
          <w:tab w:leader="none" w:pos="1740" w:val="left"/>
        </w:tabs>
        <w:rPr>
          <w:sz w:val="20"/>
          <w:szCs w:val="20"/>
          <w:color w:val="auto"/>
        </w:rPr>
      </w:pPr>
      <w:r>
        <w:rPr>
          <w:rFonts w:ascii="Times New Roman" w:cs="Times New Roman" w:eastAsia="Times New Roman" w:hAnsi="Times New Roman"/>
          <w:sz w:val="20"/>
          <w:szCs w:val="20"/>
          <w:color w:val="auto"/>
        </w:rPr>
        <w:t>2,138</w:t>
      </w:r>
      <w:r>
        <w:rPr>
          <w:sz w:val="20"/>
          <w:szCs w:val="20"/>
          <w:color w:val="auto"/>
        </w:rPr>
        <w:tab/>
      </w:r>
      <w:r>
        <w:rPr>
          <w:rFonts w:ascii="Times New Roman" w:cs="Times New Roman" w:eastAsia="Times New Roman" w:hAnsi="Times New Roman"/>
          <w:sz w:val="20"/>
          <w:szCs w:val="20"/>
          <w:color w:val="auto"/>
        </w:rPr>
        <w:t>1,190</w:t>
      </w:r>
    </w:p>
    <w:p>
      <w:pPr>
        <w:spacing w:after="0" w:line="319" w:lineRule="exact"/>
        <w:rPr>
          <w:sz w:val="20"/>
          <w:szCs w:val="20"/>
          <w:color w:val="auto"/>
        </w:rPr>
      </w:pPr>
    </w:p>
    <w:p>
      <w:pPr>
        <w:sectPr>
          <w:pgSz w:w="12240" w:h="15840" w:orient="portrait"/>
          <w:cols w:equalWidth="0" w:num="2">
            <w:col w:w="6580" w:space="480"/>
            <w:col w:w="2300"/>
          </w:cols>
          <w:pgMar w:left="1440" w:top="1378" w:right="1440" w:bottom="1054" w:gutter="0" w:footer="0" w:header="0"/>
          <w:type w:val="continuous"/>
        </w:sectPr>
      </w:pPr>
    </w:p>
    <w:tbl>
      <w:tblPr>
        <w:tblLayout w:type="fixed"/>
        <w:tblInd w:w="60" w:type="dxa"/>
        <w:tblCellMar>
          <w:top w:w="0" w:type="dxa"/>
          <w:left w:w="0" w:type="dxa"/>
          <w:bottom w:w="0" w:type="dxa"/>
          <w:right w:w="0" w:type="dxa"/>
        </w:tblCellMar>
      </w:tblPr>
      <w:tr>
        <w:trPr>
          <w:trHeight w:val="28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Rent receivable </w:t>
            </w:r>
            <w:r>
              <w:rPr>
                <w:rFonts w:ascii="Times New Roman" w:cs="Times New Roman" w:eastAsia="Times New Roman" w:hAnsi="Times New Roman"/>
                <w:sz w:val="20"/>
                <w:szCs w:val="20"/>
                <w:color w:val="B4B4B4"/>
              </w:rPr>
              <w:t>................................................................................................</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w:t>
            </w:r>
          </w:p>
        </w:tc>
      </w:tr>
      <w:tr>
        <w:trPr>
          <w:trHeight w:val="26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Totalgrossdeferredtaxliabilities</w:t>
            </w: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w:t>
            </w:r>
          </w:p>
        </w:tc>
      </w:tr>
      <w:tr>
        <w:trPr>
          <w:trHeight w:val="245"/>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Netdeferredtaxassets(liabilities)</w:t>
            </w:r>
          </w:p>
        </w:tc>
        <w:tc>
          <w:tcPr>
            <w:tcW w:w="5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tcPr>
          <w:p>
            <w:pPr>
              <w:spacing w:after="0"/>
              <w:rPr>
                <w:sz w:val="21"/>
                <w:szCs w:val="21"/>
                <w:color w:val="auto"/>
              </w:rPr>
            </w:pPr>
          </w:p>
        </w:tc>
        <w:tc>
          <w:tcPr>
            <w:tcW w:w="5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3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9"/>
        </w:trPr>
        <w:tc>
          <w:tcPr>
            <w:tcW w:w="78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The components of unrecognized tax benefits consist of the following (in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3"/>
        </w:trPr>
        <w:tc>
          <w:tcPr>
            <w:tcW w:w="6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7"/>
              </w:rPr>
              <w:t xml:space="preserve">Balance at December 31, 2024 </w:t>
            </w:r>
            <w:r>
              <w:rPr>
                <w:rFonts w:ascii="Times New Roman" w:cs="Times New Roman" w:eastAsia="Times New Roman" w:hAnsi="Times New Roman"/>
                <w:sz w:val="20"/>
                <w:szCs w:val="20"/>
                <w:color w:val="B4B4B4"/>
                <w:w w:val="87"/>
              </w:rPr>
              <w:t>..........................................................................................................</w:t>
            </w:r>
          </w:p>
        </w:tc>
        <w:tc>
          <w:tcPr>
            <w:tcW w:w="940" w:type="dxa"/>
            <w:vAlign w:val="bottom"/>
          </w:tcPr>
          <w:p>
            <w:pPr>
              <w:spacing w:after="0"/>
              <w:rPr>
                <w:sz w:val="24"/>
                <w:szCs w:val="24"/>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w:t>
            </w:r>
          </w:p>
        </w:tc>
      </w:tr>
      <w:tr>
        <w:trPr>
          <w:trHeight w:val="288"/>
        </w:trPr>
        <w:tc>
          <w:tcPr>
            <w:tcW w:w="6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0"/>
              </w:rPr>
              <w:t xml:space="preserve">Additions in 2025 </w:t>
            </w:r>
            <w:r>
              <w:rPr>
                <w:rFonts w:ascii="Times New Roman" w:cs="Times New Roman" w:eastAsia="Times New Roman" w:hAnsi="Times New Roman"/>
                <w:sz w:val="20"/>
                <w:szCs w:val="20"/>
                <w:color w:val="B4B4B4"/>
                <w:w w:val="90"/>
              </w:rPr>
              <w: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BalanceatDecember31,2025</w:t>
            </w:r>
          </w:p>
        </w:tc>
        <w:tc>
          <w:tcPr>
            <w:tcW w:w="940" w:type="dxa"/>
            <w:vAlign w:val="bottom"/>
          </w:tcPr>
          <w:p>
            <w:pPr>
              <w:spacing w:after="0"/>
              <w:rPr>
                <w:sz w:val="21"/>
                <w:szCs w:val="21"/>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w:t>
            </w:r>
          </w:p>
        </w:tc>
      </w:tr>
      <w:tr>
        <w:trPr>
          <w:trHeight w:val="20"/>
        </w:trPr>
        <w:tc>
          <w:tcPr>
            <w:tcW w:w="6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0">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88" w:lineRule="exact"/>
        <w:rPr>
          <w:sz w:val="20"/>
          <w:szCs w:val="20"/>
          <w:color w:val="auto"/>
        </w:rPr>
      </w:pPr>
    </w:p>
    <w:p>
      <w:pPr>
        <w:ind w:right="40" w:firstLine="450"/>
        <w:spacing w:after="0" w:line="236" w:lineRule="auto"/>
        <w:rPr>
          <w:sz w:val="20"/>
          <w:szCs w:val="20"/>
          <w:color w:val="auto"/>
        </w:rPr>
      </w:pPr>
      <w:r>
        <w:rPr>
          <w:rFonts w:ascii="Times New Roman" w:cs="Times New Roman" w:eastAsia="Times New Roman" w:hAnsi="Times New Roman"/>
          <w:sz w:val="20"/>
          <w:szCs w:val="20"/>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Due to the uncertainty of the business in which the Company operates, projections of future profitability are difficult and past profitability is not necessarily indicative of future profitability. The Company does not believe it is more likely than not that the deferred tax assets will be realized, and accordingly, the valuation allowance increased $12.5 million for the year ended December 31, 2025. As of December 31, 2025, the Company had net operating loss carryforwards for federal income tax purposes of $405.4 million, which will carryforward indefinitely, but may only offset 80% of the Company’s taxable income. This limitation on the net operating loss may require the Company to pay federal income taxes in future years despite generating a loss for federal income tax purposes in prior years. In addition, the Company has $136.1 million of California net operating loss carryforwards available to reduce future state taxable income as of the year ended December 31, 2025. The state net operating loss carryforwards will begin to expire, if not utilized, in 2044.</w:t>
      </w:r>
    </w:p>
    <w:p>
      <w:pPr>
        <w:spacing w:after="0" w:line="172"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The Company has R&amp;D credits of $4.1 million, and $3.7 million for federal and California, respectively, as of December 31, 2025. The federal R&amp;D credits expire in 2043 and the California R&amp;D credits carryforward indefinitely.</w:t>
      </w:r>
    </w:p>
    <w:p>
      <w:pPr>
        <w:spacing w:after="0" w:line="155" w:lineRule="exact"/>
        <w:rPr>
          <w:sz w:val="20"/>
          <w:szCs w:val="20"/>
          <w:color w:val="auto"/>
        </w:rPr>
      </w:pPr>
    </w:p>
    <w:p>
      <w:pPr>
        <w:ind w:right="100" w:firstLine="450"/>
        <w:spacing w:after="0" w:line="281" w:lineRule="auto"/>
        <w:rPr>
          <w:sz w:val="20"/>
          <w:szCs w:val="20"/>
          <w:color w:val="auto"/>
        </w:rPr>
      </w:pPr>
      <w:r>
        <w:rPr>
          <w:rFonts w:ascii="Times New Roman" w:cs="Times New Roman" w:eastAsia="Times New Roman" w:hAnsi="Times New Roman"/>
          <w:sz w:val="20"/>
          <w:szCs w:val="20"/>
          <w:color w:val="auto"/>
        </w:rPr>
        <w:t>Upon the prospective adoption of ASU 2023-09 the Company is required to disclose income taxes paid, net of refunds for 2025. All amounts for federal, state and foreign are zero for the year ended December 31, 2025.</w:t>
      </w:r>
    </w:p>
    <w:p>
      <w:pPr>
        <w:spacing w:after="0" w:line="141" w:lineRule="exact"/>
        <w:rPr>
          <w:sz w:val="20"/>
          <w:szCs w:val="20"/>
          <w:color w:val="auto"/>
        </w:rPr>
      </w:pPr>
    </w:p>
    <w:p>
      <w:pPr>
        <w:ind w:right="140" w:firstLine="450"/>
        <w:spacing w:after="0" w:line="286" w:lineRule="auto"/>
        <w:rPr>
          <w:sz w:val="20"/>
          <w:szCs w:val="20"/>
          <w:color w:val="auto"/>
        </w:rPr>
      </w:pPr>
      <w:r>
        <w:rPr>
          <w:rFonts w:ascii="Times New Roman" w:cs="Times New Roman" w:eastAsia="Times New Roman" w:hAnsi="Times New Roman"/>
          <w:sz w:val="19"/>
          <w:szCs w:val="19"/>
          <w:color w:val="auto"/>
        </w:rPr>
        <w:t>The Company files income tax returns in the U.S. federal jurisdiction, various states where the Company has employees and/or significant business activities, and the United Kingdom. As of December 31, 2025, the Company’s federal and state returns through 2022 are still open to examination. The UK returns starting from 2024</w:t>
      </w:r>
    </w:p>
    <w:p>
      <w:pPr>
        <w:sectPr>
          <w:pgSz w:w="12240" w:h="15840" w:orient="portrait"/>
          <w:cols w:equalWidth="0" w:num="1">
            <w:col w:w="9360"/>
          </w:cols>
          <w:pgMar w:left="1440" w:top="1378" w:right="1440" w:bottom="1054" w:gutter="0" w:footer="0" w:header="0"/>
          <w:type w:val="continuous"/>
        </w:sectPr>
      </w:pPr>
    </w:p>
    <w:bookmarkStart w:id="108" w:name="page109"/>
    <w:bookmarkEnd w:id="108"/>
    <w:p>
      <w:pPr>
        <w:ind w:right="20"/>
        <w:spacing w:after="0" w:line="260" w:lineRule="auto"/>
        <w:rPr>
          <w:sz w:val="20"/>
          <w:szCs w:val="20"/>
          <w:color w:val="auto"/>
        </w:rPr>
      </w:pPr>
      <w:r>
        <w:rPr>
          <w:rFonts w:ascii="Times New Roman" w:cs="Times New Roman" w:eastAsia="Times New Roman" w:hAnsi="Times New Roman"/>
          <w:sz w:val="20"/>
          <w:szCs w:val="20"/>
          <w:color w:val="auto"/>
        </w:rPr>
        <w:t>are open to examination. The Company had uncertain tax positions as of December 31, 2024 of $2.3 million and this balance remained unchanged during December 31, 2025. The Company does not anticipate that the amount of existing unrecognized tax benefits will significantly increase or decrease during the next 12 months. The Company had no accrued interest or penalties related to uncertain tax positions as of December 31, 2025.</w:t>
      </w:r>
    </w:p>
    <w:p>
      <w:pPr>
        <w:spacing w:after="0" w:line="163"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Company has not completed a Section 382 study to assess whether an ownership change has occurred or whether there have been multiple ownership changes since the Company’s formation. Pursuant to Internal Revenue Code Sections 382 and 383, annual use of the Company’s net operating loss and research and development tax credit carryforwards may be limited in the event a cumulative change in ownership of more than 50% occurs within a three-year period. Due to the existence of the valuation allowance, limitations created by future ownership changes, if any, are not anticipated to impact the Company’s effective tax rate.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Corporate Restructuring Plan</w:t>
      </w:r>
    </w:p>
    <w:p>
      <w:pPr>
        <w:spacing w:after="0" w:line="217"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20"/>
          <w:szCs w:val="20"/>
          <w:color w:val="auto"/>
        </w:rPr>
        <w:t>In January 2023, the Board of Directors approved a restructuring plan (referred to as the “2023 Plan”) and the Company announced the consolidation of the ITIL-306 Phase 1 clinical trial and related manufacturing of CoStAR-TIL to its operations in Manchester, UK and stopped recruiting for the ITIL-306 clinical trial.</w:t>
      </w:r>
    </w:p>
    <w:p>
      <w:pPr>
        <w:spacing w:after="0" w:line="155"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20"/>
          <w:szCs w:val="20"/>
          <w:color w:val="auto"/>
        </w:rPr>
        <w:t>In January 2024, the Board of Directors approved a comprehensive restructuring plan, which included the closure of the Company’s UK manufacturing facility and clinical trial operations. In September 2024, the Board of Directors approved additional UK restructuring actions, which resulted in the elimination of the majority of the remaining UK workforce in the fall of 2024, with the remaining reduction and restructuring activities substantially completed by the end of 2024. Collectively, these actions are referred to as the “2024 Plan.”</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2023 Plan and 2024 Plan are collectively referred to as the “Plan”.</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Impairment Charges</w:t>
      </w:r>
    </w:p>
    <w:p>
      <w:pPr>
        <w:spacing w:after="0" w:line="21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20"/>
          <w:szCs w:val="20"/>
          <w:color w:val="auto"/>
        </w:rPr>
        <w:t>As a result of the Plan and listing the Tarzana facility for sale, the Company recorded charges of $16.6 million and $7.5 million within the consolidated statements of operations and comprehensive loss in the line item “restructuring and impairment charges” for the years ended December 31, 2025 and 2024, respectively.</w:t>
      </w:r>
    </w:p>
    <w:p>
      <w:pPr>
        <w:spacing w:after="0" w:line="155" w:lineRule="exact"/>
        <w:rPr>
          <w:sz w:val="20"/>
          <w:szCs w:val="20"/>
          <w:color w:val="auto"/>
        </w:rPr>
      </w:pPr>
    </w:p>
    <w:p>
      <w:pPr>
        <w:jc w:val="both"/>
        <w:ind w:right="160" w:firstLine="450"/>
        <w:spacing w:after="0" w:line="266" w:lineRule="auto"/>
        <w:rPr>
          <w:sz w:val="20"/>
          <w:szCs w:val="20"/>
          <w:color w:val="auto"/>
        </w:rPr>
      </w:pPr>
      <w:r>
        <w:rPr>
          <w:rFonts w:ascii="Times New Roman" w:cs="Times New Roman" w:eastAsia="Times New Roman" w:hAnsi="Times New Roman"/>
          <w:sz w:val="20"/>
          <w:szCs w:val="20"/>
          <w:color w:val="auto"/>
        </w:rPr>
        <w:t>These charges relate to asset impairments, contract terminations, severance payments, employee-related costs and other gains incurred. The following table summarizes the restructuring and impairment (gain) loss by category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20" w:type="dxa"/>
            <w:vAlign w:val="bottom"/>
            <w:tcBorders>
              <w:bottom w:val="single" w:sz="8" w:color="auto"/>
            </w:tcBorders>
          </w:tcPr>
          <w:p>
            <w:pPr>
              <w:spacing w:after="0"/>
              <w:rPr>
                <w:sz w:val="23"/>
                <w:szCs w:val="23"/>
                <w:color w:val="auto"/>
              </w:rPr>
            </w:pPr>
          </w:p>
        </w:tc>
      </w:tr>
      <w:tr>
        <w:trPr>
          <w:trHeight w:val="265"/>
        </w:trPr>
        <w:tc>
          <w:tcPr>
            <w:tcW w:w="5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620" w:type="dxa"/>
            <w:vAlign w:val="bottom"/>
            <w:tcBorders>
              <w:bottom w:val="single" w:sz="8" w:color="auto"/>
            </w:tcBorders>
          </w:tcPr>
          <w:p>
            <w:pPr>
              <w:spacing w:after="0"/>
              <w:rPr>
                <w:sz w:val="23"/>
                <w:szCs w:val="23"/>
                <w:color w:val="auto"/>
              </w:rPr>
            </w:pPr>
          </w:p>
        </w:tc>
      </w:tr>
      <w:tr>
        <w:trPr>
          <w:trHeight w:val="262"/>
        </w:trPr>
        <w:tc>
          <w:tcPr>
            <w:tcW w:w="5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Assetimpairmentforleaseholdimprovements</w:t>
            </w:r>
          </w:p>
        </w:tc>
        <w:tc>
          <w:tcPr>
            <w:tcW w:w="114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r>
      <w:tr>
        <w:trPr>
          <w:trHeight w:val="285"/>
        </w:trPr>
        <w:tc>
          <w:tcPr>
            <w:tcW w:w="5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One-time employee termination benefits</w:t>
            </w:r>
            <w:r>
              <w:rPr>
                <w:rFonts w:ascii="Times New Roman" w:cs="Times New Roman" w:eastAsia="Times New Roman" w:hAnsi="Times New Roman"/>
                <w:sz w:val="20"/>
                <w:szCs w:val="20"/>
                <w:color w:val="B4B4B4"/>
                <w:w w:val="99"/>
              </w:rPr>
              <w:t>..............................................</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w:t>
            </w:r>
          </w:p>
        </w:tc>
      </w:tr>
      <w:tr>
        <w:trPr>
          <w:trHeight w:val="285"/>
        </w:trPr>
        <w:tc>
          <w:tcPr>
            <w:tcW w:w="5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 xml:space="preserve">Contract terminations </w:t>
            </w:r>
            <w:r>
              <w:rPr>
                <w:rFonts w:ascii="Times New Roman" w:cs="Times New Roman" w:eastAsia="Times New Roman" w:hAnsi="Times New Roman"/>
                <w:sz w:val="20"/>
                <w:szCs w:val="20"/>
                <w:color w:val="B4B4B4"/>
                <w:w w:val="99"/>
              </w:rPr>
              <w:t>...........................................................................</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r>
      <w:tr>
        <w:trPr>
          <w:trHeight w:val="285"/>
        </w:trPr>
        <w:tc>
          <w:tcPr>
            <w:tcW w:w="5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xml:space="preserve">Right-of-use asset impairment </w:t>
            </w:r>
            <w:r>
              <w:rPr>
                <w:rFonts w:ascii="Times New Roman" w:cs="Times New Roman" w:eastAsia="Times New Roman" w:hAnsi="Times New Roman"/>
                <w:sz w:val="20"/>
                <w:szCs w:val="20"/>
                <w:color w:val="B4B4B4"/>
                <w:w w:val="98"/>
              </w:rPr>
              <w:t>..............................................................</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r>
      <w:tr>
        <w:trPr>
          <w:trHeight w:val="288"/>
        </w:trPr>
        <w:tc>
          <w:tcPr>
            <w:tcW w:w="5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 xml:space="preserve">Impairment of long-lived assets held for sale </w:t>
            </w:r>
            <w:r>
              <w:rPr>
                <w:rFonts w:ascii="Times New Roman" w:cs="Times New Roman" w:eastAsia="Times New Roman" w:hAnsi="Times New Roman"/>
                <w:sz w:val="20"/>
                <w:szCs w:val="20"/>
                <w:color w:val="B4B4B4"/>
                <w:w w:val="98"/>
              </w:rPr>
              <w:t>.......................................</w:t>
            </w:r>
          </w:p>
        </w:tc>
        <w:tc>
          <w:tcPr>
            <w:tcW w:w="1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16,569</w:t>
            </w:r>
          </w:p>
        </w:tc>
        <w:tc>
          <w:tcPr>
            <w:tcW w:w="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4,325</w:t>
            </w:r>
          </w:p>
        </w:tc>
      </w:tr>
      <w:tr>
        <w:trPr>
          <w:trHeight w:val="245"/>
        </w:trPr>
        <w:tc>
          <w:tcPr>
            <w:tcW w:w="56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Totalrestructuringandimpairmentcharges</w:t>
            </w:r>
          </w:p>
        </w:tc>
        <w:tc>
          <w:tcPr>
            <w:tcW w:w="114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16,622</w:t>
            </w: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7,493</w:t>
            </w:r>
          </w:p>
        </w:tc>
      </w:tr>
      <w:tr>
        <w:trPr>
          <w:trHeight w:val="20"/>
        </w:trPr>
        <w:tc>
          <w:tcPr>
            <w:tcW w:w="5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5981700" cy="11366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1">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Restructuring Liability</w:t>
      </w:r>
    </w:p>
    <w:p>
      <w:pPr>
        <w:spacing w:after="0" w:line="219" w:lineRule="exact"/>
        <w:rPr>
          <w:sz w:val="20"/>
          <w:szCs w:val="20"/>
          <w:color w:val="auto"/>
        </w:rPr>
      </w:pPr>
    </w:p>
    <w:p>
      <w:pPr>
        <w:ind w:right="140" w:firstLine="450"/>
        <w:spacing w:after="0" w:line="260" w:lineRule="auto"/>
        <w:rPr>
          <w:sz w:val="20"/>
          <w:szCs w:val="20"/>
          <w:color w:val="auto"/>
        </w:rPr>
      </w:pPr>
      <w:r>
        <w:rPr>
          <w:rFonts w:ascii="Times New Roman" w:cs="Times New Roman" w:eastAsia="Times New Roman" w:hAnsi="Times New Roman"/>
          <w:sz w:val="20"/>
          <w:szCs w:val="20"/>
          <w:color w:val="auto"/>
        </w:rPr>
        <w:t>As a result of the Plan, the restructuring liability was recorded in the consolidated balance sheets under “Accrued expenses and other current liabilities” and was measured at the amount expected to be paid, or that was paid. During the year ended December 31, 2025, the Company paid $1.4 million of restructuring costs, and expects to pay the remainder of the restructuring costs by December 31, 2026.</w:t>
      </w:r>
    </w:p>
    <w:p>
      <w:pPr>
        <w:sectPr>
          <w:pgSz w:w="12240" w:h="15840" w:orient="portrait"/>
          <w:cols w:equalWidth="0" w:num="1">
            <w:col w:w="9360"/>
          </w:cols>
          <w:pgMar w:left="1440" w:top="1378"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20"/>
          <w:szCs w:val="20"/>
          <w:color w:val="auto"/>
        </w:rPr>
        <w:t>The following table shows the liability related to the Plan (in thousands):</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7"/>
        </w:trPr>
        <w:tc>
          <w:tcPr>
            <w:tcW w:w="50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Benefits</w:t>
            </w:r>
          </w:p>
        </w:tc>
        <w:tc>
          <w:tcPr>
            <w:tcW w:w="60" w:type="dxa"/>
            <w:vAlign w:val="bottom"/>
          </w:tcPr>
          <w:p>
            <w:pPr>
              <w:spacing w:after="0"/>
              <w:rPr>
                <w:sz w:val="23"/>
                <w:szCs w:val="23"/>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Terminations</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RestructuringliabilityasofDecember31,2023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3,136</w:t>
            </w:r>
          </w:p>
        </w:tc>
      </w:tr>
      <w:tr>
        <w:trPr>
          <w:trHeight w:val="285"/>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Additions, net </w:t>
            </w:r>
            <w:r>
              <w:rPr>
                <w:rFonts w:ascii="Times New Roman" w:cs="Times New Roman" w:eastAsia="Times New Roman" w:hAnsi="Times New Roman"/>
                <w:sz w:val="20"/>
                <w:szCs w:val="20"/>
                <w:color w:val="B4B4B4"/>
                <w:w w:val="99"/>
              </w:rPr>
              <w: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3,153</w:t>
            </w:r>
          </w:p>
        </w:tc>
      </w:tr>
      <w:tr>
        <w:trPr>
          <w:trHeight w:val="285"/>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Payments </w:t>
            </w:r>
            <w:r>
              <w:rPr>
                <w:rFonts w:ascii="Times New Roman" w:cs="Times New Roman" w:eastAsia="Times New Roman" w:hAnsi="Times New Roman"/>
                <w:sz w:val="20"/>
                <w:szCs w:val="20"/>
                <w:color w:val="B4B4B4"/>
                <w:w w:val="99"/>
              </w:rPr>
              <w: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(2,867)</w:t>
            </w:r>
          </w:p>
        </w:tc>
      </w:tr>
      <w:tr>
        <w:trPr>
          <w:trHeight w:val="288"/>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 xml:space="preserve">Adjustments </w:t>
            </w:r>
            <w:r>
              <w:rPr>
                <w:rFonts w:ascii="Times New Roman" w:cs="Times New Roman" w:eastAsia="Times New Roman" w:hAnsi="Times New Roman"/>
                <w:sz w:val="20"/>
                <w:szCs w:val="20"/>
                <w:color w:val="B4B4B4"/>
                <w:w w:val="98"/>
              </w:rPr>
              <w:t>.............................................................................</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(1,349)</w:t>
            </w:r>
          </w:p>
        </w:tc>
      </w:tr>
      <w:tr>
        <w:trPr>
          <w:trHeight w:val="262"/>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RestructuringliabilityasofDecember31,2024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2,073</w:t>
            </w:r>
          </w:p>
        </w:tc>
      </w:tr>
      <w:tr>
        <w:trPr>
          <w:trHeight w:val="285"/>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Payments </w:t>
            </w:r>
            <w:r>
              <w:rPr>
                <w:rFonts w:ascii="Times New Roman" w:cs="Times New Roman" w:eastAsia="Times New Roman" w:hAnsi="Times New Roman"/>
                <w:sz w:val="20"/>
                <w:szCs w:val="20"/>
                <w:color w:val="B4B4B4"/>
                <w:w w:val="99"/>
              </w:rPr>
              <w: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w:t>
            </w:r>
          </w:p>
        </w:tc>
      </w:tr>
      <w:tr>
        <w:trPr>
          <w:trHeight w:val="288"/>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 xml:space="preserve">Adjustments </w:t>
            </w:r>
            <w:r>
              <w:rPr>
                <w:rFonts w:ascii="Times New Roman" w:cs="Times New Roman" w:eastAsia="Times New Roman" w:hAnsi="Times New Roman"/>
                <w:sz w:val="20"/>
                <w:szCs w:val="20"/>
                <w:color w:val="B4B4B4"/>
                <w:w w:val="98"/>
              </w:rPr>
              <w:t>.............................................................................</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r>
      <w:tr>
        <w:trPr>
          <w:trHeight w:val="245"/>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TotalrestructuringliabilityasofDecember31,2025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0"/>
        </w:trPr>
        <w:tc>
          <w:tcPr>
            <w:tcW w:w="5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5981700" cy="1498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a:extLst>
                        <a:ext uri="{28A0092B-C50C-407E-A947-70E740481C1C}"/>
                      </a:extLst>
                    </a:blip>
                    <a:srcRect/>
                    <a:stretch>
                      <a:fillRect/>
                    </a:stretch>
                  </pic:blipFill>
                  <pic:spPr bwMode="auto">
                    <a:xfrm>
                      <a:off x="0" y="0"/>
                      <a:ext cx="5981700" cy="149860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17"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Annual Report. Based upon that evaluation, our Chief Executive Officer and Chief Financial Officer have concluded that, as of December 31, 2025,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17"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is defined in Rules 13a-15(f) and 15d-15(f) promulgated under the Exchange Act as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6" w:lineRule="exact"/>
        <w:rPr>
          <w:sz w:val="20"/>
          <w:szCs w:val="20"/>
          <w:color w:val="auto"/>
        </w:rPr>
      </w:pPr>
    </w:p>
    <w:p>
      <w:pPr>
        <w:ind w:left="1260" w:right="620" w:hanging="720"/>
        <w:spacing w:after="0" w:line="284" w:lineRule="auto"/>
        <w:tabs>
          <w:tab w:leader="none" w:pos="1260" w:val="left"/>
        </w:tabs>
        <w:numPr>
          <w:ilvl w:val="0"/>
          <w:numId w:val="6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97" w:lineRule="exact"/>
        <w:rPr>
          <w:rFonts w:ascii="Arial" w:cs="Arial" w:eastAsia="Arial" w:hAnsi="Arial"/>
          <w:sz w:val="24"/>
          <w:szCs w:val="24"/>
          <w:b w:val="1"/>
          <w:bCs w:val="1"/>
          <w:color w:val="auto"/>
        </w:rPr>
      </w:pPr>
    </w:p>
    <w:p>
      <w:pPr>
        <w:ind w:left="1260" w:right="240" w:hanging="720"/>
        <w:spacing w:after="0" w:line="291" w:lineRule="auto"/>
        <w:tabs>
          <w:tab w:leader="none" w:pos="1260" w:val="left"/>
        </w:tabs>
        <w:numPr>
          <w:ilvl w:val="0"/>
          <w:numId w:val="6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00" w:lineRule="exact"/>
        <w:rPr>
          <w:rFonts w:ascii="Arial" w:cs="Arial" w:eastAsia="Arial" w:hAnsi="Arial"/>
          <w:sz w:val="24"/>
          <w:szCs w:val="24"/>
          <w:b w:val="1"/>
          <w:bCs w:val="1"/>
          <w:color w:val="auto"/>
        </w:rPr>
      </w:pPr>
    </w:p>
    <w:p>
      <w:pPr>
        <w:ind w:left="1260" w:right="180" w:hanging="720"/>
        <w:spacing w:after="0" w:line="287" w:lineRule="auto"/>
        <w:tabs>
          <w:tab w:leader="none" w:pos="1260" w:val="left"/>
        </w:tabs>
        <w:numPr>
          <w:ilvl w:val="0"/>
          <w:numId w:val="6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9360"/>
          </w:cols>
          <w:pgMar w:left="1440" w:top="1378" w:right="1440" w:bottom="908" w:gutter="0" w:footer="0" w:header="0"/>
        </w:sectPr>
      </w:pPr>
    </w:p>
    <w:bookmarkStart w:id="110" w:name="page111"/>
    <w:bookmarkEnd w:id="110"/>
    <w:p>
      <w:pPr>
        <w:jc w:val="both"/>
        <w:ind w:right="60" w:firstLine="450"/>
        <w:spacing w:after="0" w:line="260" w:lineRule="auto"/>
        <w:rPr>
          <w:sz w:val="20"/>
          <w:szCs w:val="20"/>
          <w:color w:val="auto"/>
        </w:rPr>
      </w:pPr>
      <w:r>
        <w:rPr>
          <w:rFonts w:ascii="Times New Roman" w:cs="Times New Roman" w:eastAsia="Times New Roman" w:hAnsi="Times New Roman"/>
          <w:sz w:val="20"/>
          <w:szCs w:val="20"/>
          <w:color w:val="auto"/>
        </w:rPr>
        <w:t>Our management assessed the effectiveness of our internal control over financial reporting as of December 31, 2025 based on the criteria set forth by the Committee of Sponsoring Organizations of the Treadway Commission in its 2013 Internal Control - Integrated Framework. Based on its assessment, our management has concluded that our internal over financial reporting was effective as of December 31, 2025.</w:t>
      </w:r>
    </w:p>
    <w:p>
      <w:pPr>
        <w:spacing w:after="0" w:line="163" w:lineRule="exact"/>
        <w:rPr>
          <w:sz w:val="20"/>
          <w:szCs w:val="20"/>
          <w:color w:val="auto"/>
        </w:rPr>
      </w:pPr>
    </w:p>
    <w:p>
      <w:pPr>
        <w:ind w:right="100" w:firstLine="450"/>
        <w:spacing w:after="0" w:line="309" w:lineRule="auto"/>
        <w:rPr>
          <w:sz w:val="20"/>
          <w:szCs w:val="20"/>
          <w:color w:val="auto"/>
        </w:rPr>
      </w:pPr>
      <w:r>
        <w:rPr>
          <w:rFonts w:ascii="Times New Roman" w:cs="Times New Roman" w:eastAsia="Times New Roman" w:hAnsi="Times New Roman"/>
          <w:sz w:val="19"/>
          <w:szCs w:val="19"/>
          <w:color w:val="auto"/>
        </w:rPr>
        <w:t>This Annual Report on Form 10-K does not include an attestation report of our independent public accounting firm as allowed by Section 404(b) of the Sarbanes-Oxley Act, as amended by Section 103 of the JOBS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17"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217"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17" w:lineRule="exact"/>
        <w:rPr>
          <w:sz w:val="20"/>
          <w:szCs w:val="20"/>
          <w:color w:val="auto"/>
        </w:rPr>
      </w:pPr>
    </w:p>
    <w:p>
      <w:pPr>
        <w:ind w:right="360" w:firstLine="450"/>
        <w:spacing w:after="0" w:line="266" w:lineRule="auto"/>
        <w:rPr>
          <w:sz w:val="20"/>
          <w:szCs w:val="20"/>
          <w:color w:val="auto"/>
        </w:rPr>
      </w:pPr>
      <w:r>
        <w:rPr>
          <w:rFonts w:ascii="Times New Roman" w:cs="Times New Roman" w:eastAsia="Times New Roman" w:hAnsi="Times New Roman"/>
          <w:sz w:val="20"/>
          <w:szCs w:val="20"/>
          <w:color w:val="auto"/>
        </w:rPr>
        <w:t>During the quarter ended December 31, 2025, none of our directors or officers (as defined in Rule 16a-1(f) under the Exchange Act) adopted, modified or terminated a “Rule 10b5-1 trading arrangement” or a “non-Rule 10b5-1 trading arrangement” (as each term is defined in Item 408 of Regulation S-K).</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378" w:right="1440" w:bottom="1440" w:gutter="0" w:footer="0" w:header="0"/>
        </w:sectPr>
      </w:pPr>
    </w:p>
    <w:bookmarkStart w:id="111" w:name="page112"/>
    <w:bookmarkEnd w:id="111"/>
    <w:p>
      <w:pPr>
        <w:ind w:left="43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and not set forth below will be set forth in the sections captioned “Election of Directors,” “Information Regarding the Board of Directors and Corporate Governance,” “Executive Officers” and “Delinquent Section 16(a) Reports”, if applicable, in our definitive Proxy Statement for our 2026 Annual Meeting of Stockholders to be filed with the SEC on or before April 30, 2026, or the 2026 Proxy Statement, and is incorporated in this report by reference.</w:t>
      </w:r>
    </w:p>
    <w:p>
      <w:pPr>
        <w:spacing w:after="0" w:line="164"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have adopted a code of ethics for directors, officers and employees, including our principal executive officer, principal financial officer, principal accounting officer or controller, or persons performing similar functions, known as the Code of Business Conduct and Ethics. The Code of Business Conduct and Ethics is available on our website at http://www.instilbio.com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6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and/or other dispositions of our securities by our directors, officers and employees. A copy of the Insider Trading Policy is filed as an exhibit to this Annual Report on Form 10-K. In addition, it is the Company’s practice to comply with the applicable laws and regulations relating to insider trading.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ind w:right="20" w:firstLine="450"/>
        <w:spacing w:after="0" w:line="309" w:lineRule="auto"/>
        <w:rPr>
          <w:sz w:val="20"/>
          <w:szCs w:val="20"/>
          <w:color w:val="auto"/>
        </w:rPr>
      </w:pPr>
      <w:r>
        <w:rPr>
          <w:rFonts w:ascii="Times New Roman" w:cs="Times New Roman" w:eastAsia="Times New Roman" w:hAnsi="Times New Roman"/>
          <w:sz w:val="19"/>
          <w:szCs w:val="19"/>
          <w:color w:val="auto"/>
        </w:rPr>
        <w:t>The information required by this Item will be set forth under the sections captioned “Executive Compensation” and “Director Compensation” in the 2026 Proxy Statement and is incorporated in this report by reference.</w:t>
      </w:r>
    </w:p>
    <w:p>
      <w:pPr>
        <w:spacing w:after="0" w:line="27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9"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sections captioned “Security Ownership of Certain Beneficial Owners and Management” and “Securities Authorized for Issuance under Equity Compensation Plans” in the 2026 Proxy Statement and is incorporated in this report by reference.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9"/>
          <w:szCs w:val="19"/>
          <w:color w:val="auto"/>
        </w:rPr>
        <w:t>The information required by this Item will be set forth under the sections captioned “Transactions with Related Persons and Indemnification” and “Information Regarding the Board of Directors and Corporate Governance— Independence of the Board of Directors” in the 2026 Proxy Statement and is incorporated in this report by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20"/>
          <w:szCs w:val="20"/>
          <w:color w:val="auto"/>
        </w:rPr>
        <w:t xml:space="preserve">The information required by this Item will be set forth under the section captioned </w:t>
      </w:r>
      <w:r>
        <w:rPr>
          <w:rFonts w:ascii="Times New Roman" w:cs="Times New Roman" w:eastAsia="Times New Roman" w:hAnsi="Times New Roman"/>
          <w:sz w:val="20"/>
          <w:szCs w:val="20"/>
          <w:color w:val="252525"/>
        </w:rPr>
        <w:t>“Ratification of Selection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 xml:space="preserve">Independent Registered Public Accounting Firm” in </w:t>
      </w:r>
      <w:r>
        <w:rPr>
          <w:rFonts w:ascii="Times New Roman" w:cs="Times New Roman" w:eastAsia="Times New Roman" w:hAnsi="Times New Roman"/>
          <w:sz w:val="20"/>
          <w:szCs w:val="20"/>
          <w:color w:val="000000"/>
        </w:rPr>
        <w:t>the 2026 Proxy Statement and is incorporated in this report by</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reference.</w:t>
      </w:r>
    </w:p>
    <w:p>
      <w:pPr>
        <w:sectPr>
          <w:pgSz w:w="12240" w:h="15840" w:orient="portrait"/>
          <w:cols w:equalWidth="0" w:num="1">
            <w:col w:w="9360"/>
          </w:cols>
          <w:pgMar w:left="1440" w:top="1371"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371"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60" w:firstLine="49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INSTIL BIO, INC.</w:t>
      </w:r>
    </w:p>
    <w:p>
      <w:pPr>
        <w:spacing w:after="0" w:line="200" w:lineRule="exact"/>
        <w:rPr>
          <w:sz w:val="20"/>
          <w:szCs w:val="20"/>
          <w:color w:val="auto"/>
        </w:rPr>
      </w:pPr>
    </w:p>
    <w:p>
      <w:pPr>
        <w:spacing w:after="0" w:line="204" w:lineRule="exact"/>
        <w:rPr>
          <w:sz w:val="20"/>
          <w:szCs w:val="20"/>
          <w:color w:val="auto"/>
        </w:rPr>
      </w:pPr>
    </w:p>
    <w:p>
      <w:pPr>
        <w:ind w:left="60"/>
        <w:spacing w:after="0"/>
        <w:tabs>
          <w:tab w:leader="none" w:pos="4740" w:val="left"/>
          <w:tab w:leader="none" w:pos="5320" w:val="left"/>
        </w:tabs>
        <w:rPr>
          <w:sz w:val="20"/>
          <w:szCs w:val="20"/>
          <w:color w:val="auto"/>
        </w:rPr>
      </w:pPr>
      <w:r>
        <w:rPr>
          <w:rFonts w:ascii="Times New Roman" w:cs="Times New Roman" w:eastAsia="Times New Roman" w:hAnsi="Times New Roman"/>
          <w:sz w:val="20"/>
          <w:szCs w:val="20"/>
          <w:color w:val="auto"/>
        </w:rPr>
        <w:t>March 27, 2026</w:t>
      </w:r>
      <w:r>
        <w:rPr>
          <w:sz w:val="20"/>
          <w:szCs w:val="20"/>
          <w:color w:val="auto"/>
        </w:rPr>
        <w:tab/>
      </w:r>
      <w:r>
        <w:rPr>
          <w:rFonts w:ascii="Times New Roman" w:cs="Times New Roman" w:eastAsia="Times New Roman" w:hAnsi="Times New Roman"/>
          <w:sz w:val="20"/>
          <w:szCs w:val="20"/>
          <w:color w:val="auto"/>
        </w:rPr>
        <w:t>By:</w:t>
        <w:tab/>
        <w:t>/s/ Bronson Crouch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3362325</wp:posOffset>
                </wp:positionH>
                <wp:positionV relativeFrom="paragraph">
                  <wp:posOffset>27305</wp:posOffset>
                </wp:positionV>
                <wp:extent cx="258127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1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75pt,2.15pt" to="468pt,2.15pt" o:allowincell="f" strokecolor="#000000" strokeweight="1pt"/>
            </w:pict>
          </mc:Fallback>
        </mc:AlternateContent>
      </w:r>
    </w:p>
    <w:p>
      <w:pPr>
        <w:spacing w:after="0" w:line="1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Bronson Crouch</w:t>
      </w:r>
    </w:p>
    <w:p>
      <w:pPr>
        <w:spacing w:after="0" w:line="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 And Power of Attorney</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Bronson Crouch and Sandeep Laumas, M.D.,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2240" w:h="15840" w:orient="portrait"/>
          <w:cols w:equalWidth="0" w:num="1">
            <w:col w:w="9360"/>
          </w:cols>
          <w:pgMar w:left="1440" w:top="1371" w:right="1440" w:bottom="1440" w:gutter="0" w:footer="0" w:header="0"/>
        </w:sectPr>
      </w:pPr>
    </w:p>
    <w:bookmarkStart w:id="114" w:name="page115"/>
    <w:bookmarkEnd w:id="114"/>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40" w:type="dxa"/>
            <w:vAlign w:val="bottom"/>
          </w:tcPr>
          <w:p>
            <w:pPr>
              <w:ind w:left="120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60" w:type="dxa"/>
            <w:vAlign w:val="bottom"/>
          </w:tcPr>
          <w:p>
            <w:pPr>
              <w:spacing w:after="0"/>
              <w:rPr>
                <w:sz w:val="22"/>
                <w:szCs w:val="22"/>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135"/>
        </w:trPr>
        <w:tc>
          <w:tcPr>
            <w:tcW w:w="3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580"/>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Bronson Crouch</w:t>
            </w:r>
          </w:p>
        </w:tc>
        <w:tc>
          <w:tcPr>
            <w:tcW w:w="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Chairman</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27, 2026</w:t>
            </w:r>
          </w:p>
        </w:tc>
      </w:tr>
      <w:tr>
        <w:trPr>
          <w:trHeight w:val="262"/>
        </w:trPr>
        <w:tc>
          <w:tcPr>
            <w:tcW w:w="3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Bronson Crouch</w:t>
            </w:r>
          </w:p>
        </w:tc>
        <w:tc>
          <w:tcPr>
            <w:tcW w:w="60" w:type="dxa"/>
            <w:vAlign w:val="bottom"/>
          </w:tcPr>
          <w:p>
            <w:pPr>
              <w:spacing w:after="0"/>
              <w:rPr>
                <w:sz w:val="22"/>
                <w:szCs w:val="22"/>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60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Sandeep Laumas, M.D.</w:t>
            </w:r>
          </w:p>
        </w:tc>
        <w:tc>
          <w:tcPr>
            <w:tcW w:w="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and Chief Business Officer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27, 2026</w:t>
            </w:r>
          </w:p>
        </w:tc>
      </w:tr>
      <w:tr>
        <w:trPr>
          <w:trHeight w:val="262"/>
        </w:trPr>
        <w:tc>
          <w:tcPr>
            <w:tcW w:w="3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Sandeep Laumas, M.D.</w:t>
            </w:r>
          </w:p>
        </w:tc>
        <w:tc>
          <w:tcPr>
            <w:tcW w:w="60" w:type="dxa"/>
            <w:vAlign w:val="bottom"/>
          </w:tcPr>
          <w:p>
            <w:pPr>
              <w:spacing w:after="0"/>
              <w:rPr>
                <w:sz w:val="22"/>
                <w:szCs w:val="22"/>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60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Gwendolyn Binder, Ph.D.</w:t>
            </w:r>
          </w:p>
        </w:tc>
        <w:tc>
          <w:tcPr>
            <w:tcW w:w="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27, 2026</w:t>
            </w:r>
          </w:p>
        </w:tc>
      </w:tr>
      <w:tr>
        <w:trPr>
          <w:trHeight w:val="262"/>
        </w:trPr>
        <w:tc>
          <w:tcPr>
            <w:tcW w:w="3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Gwendolyn Binder, Ph.D.</w:t>
            </w:r>
          </w:p>
        </w:tc>
        <w:tc>
          <w:tcPr>
            <w:tcW w:w="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60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Neil Gibson, Ph.D.</w:t>
            </w:r>
          </w:p>
        </w:tc>
        <w:tc>
          <w:tcPr>
            <w:tcW w:w="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27, 2026</w:t>
            </w:r>
          </w:p>
        </w:tc>
      </w:tr>
      <w:tr>
        <w:trPr>
          <w:trHeight w:val="262"/>
        </w:trPr>
        <w:tc>
          <w:tcPr>
            <w:tcW w:w="3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Neil Gibson, Ph.D.</w:t>
            </w:r>
          </w:p>
        </w:tc>
        <w:tc>
          <w:tcPr>
            <w:tcW w:w="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60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George Matcham, Ph.D.</w:t>
            </w:r>
          </w:p>
        </w:tc>
        <w:tc>
          <w:tcPr>
            <w:tcW w:w="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27, 2026</w:t>
            </w:r>
          </w:p>
        </w:tc>
      </w:tr>
      <w:tr>
        <w:trPr>
          <w:trHeight w:val="262"/>
        </w:trPr>
        <w:tc>
          <w:tcPr>
            <w:tcW w:w="3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George Matcham, Ph.D.</w:t>
            </w:r>
          </w:p>
        </w:tc>
        <w:tc>
          <w:tcPr>
            <w:tcW w:w="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60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R. Kent McGaughy, Jr.</w:t>
            </w:r>
          </w:p>
        </w:tc>
        <w:tc>
          <w:tcPr>
            <w:tcW w:w="6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27, 2026</w:t>
            </w:r>
          </w:p>
        </w:tc>
      </w:tr>
      <w:tr>
        <w:trPr>
          <w:trHeight w:val="262"/>
        </w:trPr>
        <w:tc>
          <w:tcPr>
            <w:tcW w:w="3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 Kent McGaughy, Jr.</w:t>
            </w:r>
          </w:p>
        </w:tc>
        <w:tc>
          <w:tcPr>
            <w:tcW w:w="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1" w:lineRule="exact"/>
        <w:rPr>
          <w:sz w:val="20"/>
          <w:szCs w:val="20"/>
          <w:color w:val="auto"/>
        </w:rPr>
      </w:pPr>
    </w:p>
    <w:sectPr>
      <w:pgSz w:w="12240" w:h="15840" w:orient="portrait"/>
      <w:cols w:equalWidth="0" w:num="1">
        <w:col w:w="9480"/>
      </w:cols>
      <w:pgMar w:left="1440" w:top="1440" w:right="13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lowerRoman"/>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383"/>
    </w:lvl>
  </w:abstractNum>
  <w:abstractNum w:abstractNumId="57">
    <w:nsid w:val="10233C99"/>
    <w:multiLevelType w:val="hybridMultilevel"/>
    <w:lvl w:ilvl="0">
      <w:lvlJc w:val="left"/>
      <w:lvlText w:val="%1."/>
      <w:numFmt w:val="decimal"/>
      <w:start w:val="8"/>
    </w:lvl>
  </w:abstractNum>
  <w:abstractNum w:abstractNumId="58">
    <w:nsid w:val="3F6AB60F"/>
    <w:multiLevelType w:val="hybridMultilevel"/>
    <w:lvl w:ilvl="0">
      <w:lvlJc w:val="left"/>
      <w:lvlText w:val="%1."/>
      <w:numFmt w:val="decimal"/>
      <w:start w:val="10"/>
    </w:lvl>
  </w:abstractNum>
  <w:abstractNum w:abstractNumId="59">
    <w:nsid w:val="61574095"/>
    <w:multiLevelType w:val="hybridMultilevel"/>
    <w:lvl w:ilvl="0">
      <w:lvlJc w:val="left"/>
      <w:lvlText w:val="(%1)"/>
      <w:numFmt w:val="decimal"/>
      <w:start w:val="538"/>
    </w:lvl>
  </w:abstractNum>
  <w:abstractNum w:abstractNumId="60">
    <w:nsid w:val="7E0C57B1"/>
    <w:multiLevelType w:val="hybridMultilevel"/>
    <w:lvl w:ilvl="0">
      <w:lvlJc w:val="left"/>
      <w:lvlText w:val="%1"/>
      <w:numFmt w:val="decimal"/>
      <w:start w:val="681"/>
    </w:lvl>
  </w:abstractNum>
  <w:abstractNum w:abstractNumId="61">
    <w:nsid w:val="77AE35EB"/>
    <w:multiLevelType w:val="hybridMultilevel"/>
    <w:lvl w:ilvl="0">
      <w:lvlJc w:val="left"/>
      <w:lvlText w:val="%1"/>
      <w:numFmt w:val="decimal"/>
      <w:start w:val="520"/>
    </w:lvl>
  </w:abstractNum>
  <w:abstractNum w:abstractNumId="62">
    <w:nsid w:val="579BE4F1"/>
    <w:multiLevelType w:val="hybridMultilevel"/>
    <w:lvl w:ilvl="0">
      <w:lvlJc w:val="left"/>
      <w:lvlText w:val="%1"/>
      <w:numFmt w:val="decimal"/>
      <w:start w:val="753"/>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2026-04-24T23:49:49Z</dcterms:created>
  <dcterms:modified xsi:type="dcterms:W3CDTF">2026-04-24T23:49:49Z</dcterms:modified>
</cp:coreProperties>
</file>