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55245</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87630</wp:posOffset>
            </wp:positionV>
            <wp:extent cx="2777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54" w:lineRule="exact"/>
        <w:rPr>
          <w:sz w:val="24"/>
          <w:szCs w:val="24"/>
          <w:color w:val="auto"/>
        </w:rPr>
      </w:pPr>
    </w:p>
    <w:p>
      <w:pPr>
        <w:ind w:left="3920" w:right="1300" w:hanging="3824"/>
        <w:spacing w:after="0" w:line="454" w:lineRule="auto"/>
        <w:tabs>
          <w:tab w:leader="none" w:pos="16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2025</w:t>
      </w:r>
    </w:p>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62" w:lineRule="exact"/>
        <w:rPr>
          <w:sz w:val="24"/>
          <w:szCs w:val="24"/>
          <w:color w:val="auto"/>
        </w:rPr>
      </w:pPr>
    </w:p>
    <w:p>
      <w:pPr>
        <w:ind w:left="3600" w:right="1160" w:hanging="3511"/>
        <w:spacing w:after="0" w:line="416" w:lineRule="auto"/>
        <w:tabs>
          <w:tab w:leader="none" w:pos="140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 to ________</w:t>
      </w:r>
    </w:p>
    <w:p>
      <w:pPr>
        <w:ind w:left="42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001-40215</w:t>
      </w:r>
    </w:p>
    <w:p>
      <w:pPr>
        <w:spacing w:after="0" w:line="3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Instil Bio, Inc.</w:t>
      </w:r>
    </w:p>
    <w:p>
      <w:pPr>
        <w:spacing w:after="0" w:line="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71" w:lineRule="exact"/>
        <w:rPr>
          <w:sz w:val="24"/>
          <w:szCs w:val="24"/>
          <w:color w:val="auto"/>
        </w:rPr>
      </w:pPr>
    </w:p>
    <w:tbl>
      <w:tblPr>
        <w:tblLayout w:type="fixed"/>
        <w:tblInd w:w="300" w:type="dxa"/>
        <w:tblCellMar>
          <w:top w:w="0" w:type="dxa"/>
          <w:left w:w="0" w:type="dxa"/>
          <w:bottom w:w="0" w:type="dxa"/>
          <w:right w:w="0" w:type="dxa"/>
        </w:tblCellMar>
      </w:tblPr>
      <w:tr>
        <w:trPr>
          <w:trHeight w:val="238"/>
        </w:trPr>
        <w:tc>
          <w:tcPr>
            <w:tcW w:w="5140" w:type="dxa"/>
            <w:vAlign w:val="bottom"/>
          </w:tcPr>
          <w:p>
            <w:pPr>
              <w:jc w:val="center"/>
              <w:ind w:right="163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8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83-2072195</w:t>
            </w:r>
          </w:p>
        </w:tc>
      </w:tr>
      <w:tr>
        <w:trPr>
          <w:trHeight w:val="233"/>
        </w:trPr>
        <w:tc>
          <w:tcPr>
            <w:tcW w:w="5140" w:type="dxa"/>
            <w:vAlign w:val="bottom"/>
          </w:tcPr>
          <w:p>
            <w:pPr>
              <w:jc w:val="center"/>
              <w:ind w:right="161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780" w:type="dxa"/>
            <w:vAlign w:val="bottom"/>
          </w:tcPr>
          <w:p>
            <w:pPr>
              <w:jc w:val="center"/>
              <w:ind w:left="161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38"/>
        </w:trPr>
        <w:tc>
          <w:tcPr>
            <w:tcW w:w="5140" w:type="dxa"/>
            <w:vAlign w:val="bottom"/>
          </w:tcPr>
          <w:p>
            <w:pPr>
              <w:jc w:val="center"/>
              <w:ind w:right="1635"/>
              <w:spacing w:after="0"/>
              <w:rPr>
                <w:sz w:val="20"/>
                <w:szCs w:val="20"/>
                <w:color w:val="auto"/>
              </w:rPr>
            </w:pPr>
            <w:r>
              <w:rPr>
                <w:rFonts w:ascii="Times New Roman" w:cs="Times New Roman" w:eastAsia="Times New Roman" w:hAnsi="Times New Roman"/>
                <w:sz w:val="18"/>
                <w:szCs w:val="18"/>
                <w:b w:val="1"/>
                <w:bCs w:val="1"/>
                <w:color w:val="auto"/>
                <w:w w:val="99"/>
              </w:rPr>
              <w:t>3963 Maple Avenue, Suite 350</w:t>
            </w:r>
          </w:p>
        </w:tc>
        <w:tc>
          <w:tcPr>
            <w:tcW w:w="378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75219</w:t>
            </w:r>
          </w:p>
        </w:tc>
      </w:tr>
      <w:tr>
        <w:trPr>
          <w:trHeight w:val="239"/>
        </w:trPr>
        <w:tc>
          <w:tcPr>
            <w:tcW w:w="5140" w:type="dxa"/>
            <w:vAlign w:val="bottom"/>
          </w:tcPr>
          <w:p>
            <w:pPr>
              <w:jc w:val="center"/>
              <w:ind w:right="1615"/>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3780" w:type="dxa"/>
            <w:vAlign w:val="bottom"/>
          </w:tcPr>
          <w:p>
            <w:pPr>
              <w:jc w:val="center"/>
              <w:ind w:left="161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58"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75"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(972) 499-3350</w:t>
      </w:r>
    </w:p>
    <w:p>
      <w:pPr>
        <w:spacing w:after="0" w:line="2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64770</wp:posOffset>
            </wp:positionV>
            <wp:extent cx="33261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40" w:type="dxa"/>
            <w:vAlign w:val="bottom"/>
            <w:tcBorders>
              <w:right w:val="single" w:sz="8" w:color="auto"/>
            </w:tcBorders>
          </w:tcPr>
          <w:p>
            <w:pPr>
              <w:spacing w:after="0"/>
              <w:rPr>
                <w:sz w:val="22"/>
                <w:szCs w:val="22"/>
                <w:color w:val="auto"/>
              </w:rPr>
            </w:pPr>
          </w:p>
        </w:tc>
        <w:tc>
          <w:tcPr>
            <w:tcW w:w="4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80" w:type="dxa"/>
            <w:vAlign w:val="bottom"/>
            <w:tcBorders>
              <w:top w:val="single" w:sz="8" w:color="auto"/>
            </w:tcBorders>
          </w:tcPr>
          <w:p>
            <w:pPr>
              <w:spacing w:after="0"/>
              <w:rPr>
                <w:sz w:val="22"/>
                <w:szCs w:val="22"/>
                <w:color w:val="auto"/>
              </w:rPr>
            </w:pPr>
          </w:p>
        </w:tc>
        <w:tc>
          <w:tcPr>
            <w:tcW w:w="4220" w:type="dxa"/>
            <w:vAlign w:val="bottom"/>
            <w:tcBorders>
              <w:top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0" w:type="dxa"/>
            <w:vAlign w:val="bottom"/>
            <w:tcBorders>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$0.000001 par value per share</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TIL</w:t>
            </w:r>
          </w:p>
        </w:tc>
        <w:tc>
          <w:tcPr>
            <w:tcW w:w="280" w:type="dxa"/>
            <w:vAlign w:val="bottom"/>
          </w:tcPr>
          <w:p>
            <w:pPr>
              <w:spacing w:after="0"/>
              <w:rPr>
                <w:sz w:val="20"/>
                <w:szCs w:val="20"/>
                <w:color w:val="auto"/>
              </w:rPr>
            </w:pPr>
          </w:p>
        </w:tc>
        <w:tc>
          <w:tcPr>
            <w:tcW w:w="4220" w:type="dxa"/>
            <w:vAlign w:val="bottom"/>
            <w:tcBorders>
              <w:right w:val="single" w:sz="8" w:color="auto"/>
            </w:tcBorders>
          </w:tcPr>
          <w:p>
            <w:pPr>
              <w:jc w:val="center"/>
              <w:ind w:right="236"/>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0" w:type="dxa"/>
            <w:vAlign w:val="bottom"/>
            <w:tcBorders>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r>
        <w:trPr>
          <w:trHeight w:val="289"/>
        </w:trPr>
        <w:tc>
          <w:tcPr>
            <w:tcW w:w="70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w:t>
            </w:r>
          </w:p>
        </w:tc>
        <w:tc>
          <w:tcPr>
            <w:tcW w:w="4220" w:type="dxa"/>
            <w:vAlign w:val="bottom"/>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bl>
    <w:p>
      <w:pPr>
        <w:spacing w:after="0" w:line="2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0"/>
        <w:spacing w:after="0" w:line="20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1" w:lineRule="exact"/>
        <w:rPr>
          <w:sz w:val="24"/>
          <w:szCs w:val="24"/>
          <w:color w:val="auto"/>
        </w:rPr>
      </w:pPr>
    </w:p>
    <w:p>
      <w:pPr>
        <w:ind w:right="40"/>
        <w:spacing w:after="0" w:line="20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pursuant to Rule 405 of Regulation S-T (§232.405 of this chapter) during the preceding 12 months (or for such shorter period that the registrant was required to submit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right="20"/>
        <w:spacing w:after="0" w:line="3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7" w:lineRule="exact"/>
        <w:rPr>
          <w:sz w:val="24"/>
          <w:szCs w:val="24"/>
          <w:color w:val="auto"/>
        </w:rPr>
      </w:pPr>
    </w:p>
    <w:tbl>
      <w:tblPr>
        <w:tblLayout w:type="fixed"/>
        <w:tblInd w:w="1200" w:type="dxa"/>
        <w:tblCellMar>
          <w:top w:w="0" w:type="dxa"/>
          <w:left w:w="0" w:type="dxa"/>
          <w:bottom w:w="0" w:type="dxa"/>
          <w:right w:w="0" w:type="dxa"/>
        </w:tblCellMar>
      </w:tblPr>
      <w:tr>
        <w:trPr>
          <w:trHeight w:val="243"/>
        </w:trPr>
        <w:tc>
          <w:tcPr>
            <w:tcW w:w="212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auto"/>
              </w:rPr>
              <w:t>Large accelerated filer</w:t>
            </w:r>
          </w:p>
        </w:tc>
        <w:tc>
          <w:tcPr>
            <w:tcW w:w="156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31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Accelerated filer</w:t>
            </w:r>
          </w:p>
        </w:tc>
        <w:tc>
          <w:tcPr>
            <w:tcW w:w="108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12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auto"/>
              </w:rPr>
              <w:t>Non-accelerated filer</w:t>
            </w:r>
          </w:p>
        </w:tc>
        <w:tc>
          <w:tcPr>
            <w:tcW w:w="156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31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8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1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8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97" w:lineRule="exact"/>
        <w:rPr>
          <w:sz w:val="24"/>
          <w:szCs w:val="24"/>
          <w:color w:val="auto"/>
        </w:rPr>
      </w:pPr>
    </w:p>
    <w:p>
      <w:pPr>
        <w:ind w:right="58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6" w:lineRule="exact"/>
        <w:rPr>
          <w:sz w:val="24"/>
          <w:szCs w:val="24"/>
          <w:color w:val="auto"/>
        </w:rPr>
      </w:pPr>
    </w:p>
    <w:p>
      <w:pPr>
        <w:ind w:right="8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5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459740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61" w:right="319" w:bottom="1440" w:gutter="0" w:footer="0" w:header="0"/>
        </w:sectPr>
      </w:pPr>
    </w:p>
    <w:bookmarkStart w:id="1" w:name="page2"/>
    <w:bookmarkEnd w:id="1"/>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83"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4"/>
          <w:szCs w:val="14"/>
          <w:color w:val="auto"/>
        </w:rPr>
        <w:t>As of June 30, 2025, the last business day of the registrant’s most recently completed second fiscal quarter, the aggregate market value of the registrant’s common stock held by non-affiliates of the registrant was approximately $83.4 million, based on the closing price of the registrant’s common stock on the Nasdaq Stock Market on June 30, 2025 of $20.83 per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of Common Stock</w:t>
            </w:r>
          </w:p>
        </w:tc>
        <w:tc>
          <w:tcPr>
            <w:tcW w:w="2880" w:type="dxa"/>
            <w:vAlign w:val="bottom"/>
          </w:tcPr>
          <w:p>
            <w:pPr>
              <w:spacing w:after="0"/>
              <w:rPr>
                <w:sz w:val="13"/>
                <w:szCs w:val="13"/>
                <w:color w:val="auto"/>
              </w:rPr>
            </w:pPr>
          </w:p>
        </w:tc>
        <w:tc>
          <w:tcPr>
            <w:tcW w:w="2460" w:type="dxa"/>
            <w:vAlign w:val="bottom"/>
            <w:gridSpan w:val="3"/>
          </w:tcPr>
          <w:p>
            <w:pPr>
              <w:jc w:val="center"/>
              <w:ind w:left="1508"/>
              <w:spacing w:after="0"/>
              <w:rPr>
                <w:sz w:val="20"/>
                <w:szCs w:val="20"/>
                <w:color w:val="auto"/>
              </w:rPr>
            </w:pPr>
            <w:r>
              <w:rPr>
                <w:rFonts w:ascii="Times New Roman" w:cs="Times New Roman" w:eastAsia="Times New Roman" w:hAnsi="Times New Roman"/>
                <w:sz w:val="14"/>
                <w:szCs w:val="14"/>
                <w:color w:val="auto"/>
              </w:rPr>
              <w:t>Outstanding at</w:t>
            </w:r>
          </w:p>
        </w:tc>
      </w:tr>
      <w:tr>
        <w:trPr>
          <w:trHeight w:val="20"/>
        </w:trPr>
        <w:tc>
          <w:tcPr>
            <w:tcW w:w="1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0"/>
        </w:trPr>
        <w:tc>
          <w:tcPr>
            <w:tcW w:w="5620" w:type="dxa"/>
            <w:vAlign w:val="bottom"/>
            <w:gridSpan w:val="3"/>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6,781,976 shares of Common Stock, $0.000001 par value per share</w:t>
            </w:r>
          </w:p>
        </w:tc>
        <w:tc>
          <w:tcPr>
            <w:tcW w:w="2460" w:type="dxa"/>
            <w:vAlign w:val="bottom"/>
            <w:gridSpan w:val="3"/>
          </w:tcPr>
          <w:p>
            <w:pPr>
              <w:jc w:val="center"/>
              <w:ind w:left="1488"/>
              <w:spacing w:after="0"/>
              <w:rPr>
                <w:sz w:val="20"/>
                <w:szCs w:val="20"/>
                <w:color w:val="auto"/>
              </w:rPr>
            </w:pPr>
            <w:r>
              <w:rPr>
                <w:rFonts w:ascii="Times New Roman" w:cs="Times New Roman" w:eastAsia="Times New Roman" w:hAnsi="Times New Roman"/>
                <w:sz w:val="14"/>
                <w:szCs w:val="14"/>
                <w:color w:val="auto"/>
              </w:rPr>
              <w:t>March 25, 2026</w:t>
            </w:r>
          </w:p>
        </w:tc>
      </w:tr>
    </w:tbl>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17"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with the Securities and Exchange Commission (SEC) subsequent to the date hereof pursuant to Regulation 14A in connection with the registrant’s 2026 Annual Meeting of Stockholders are incorporated by reference into Part III of this Annual Report on Form 10-K. Such proxy statement will be filed with the SEC not later than 120 days after the conclusion of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906780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151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760" w:type="dxa"/>
            <w:vAlign w:val="bottom"/>
            <w:gridSpan w:val="8"/>
          </w:tcPr>
          <w:p>
            <w:pPr>
              <w:ind w:left="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6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50"/>
        </w:trPr>
        <w:tc>
          <w:tcPr>
            <w:tcW w:w="20" w:type="dxa"/>
            <w:vAlign w:val="bottom"/>
          </w:tcPr>
          <w:p>
            <w:pPr>
              <w:spacing w:after="0"/>
              <w:rPr>
                <w:sz w:val="21"/>
                <w:szCs w:val="21"/>
                <w:color w:val="auto"/>
              </w:rPr>
            </w:pP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Part I</w:t>
            </w:r>
          </w:p>
        </w:tc>
        <w:tc>
          <w:tcPr>
            <w:tcW w:w="18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Item 1. Business</w:t>
            </w:r>
          </w:p>
        </w:tc>
        <w:tc>
          <w:tcPr>
            <w:tcW w:w="7440" w:type="dxa"/>
            <w:vAlign w:val="bottom"/>
            <w:gridSpan w:val="19"/>
          </w:tcPr>
          <w:p>
            <w:pPr>
              <w:spacing w:after="0"/>
              <w:rPr>
                <w:sz w:val="21"/>
                <w:szCs w:val="21"/>
                <w:color w:val="auto"/>
              </w:rPr>
            </w:pPr>
          </w:p>
        </w:tc>
        <w:tc>
          <w:tcPr>
            <w:tcW w:w="2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7040" w:type="dxa"/>
            <w:vAlign w:val="bottom"/>
            <w:gridSpan w:val="17"/>
          </w:tcPr>
          <w:p>
            <w:pPr>
              <w:spacing w:after="0"/>
              <w:rPr>
                <w:sz w:val="21"/>
                <w:szCs w:val="21"/>
                <w:color w:val="auto"/>
              </w:rPr>
            </w:pPr>
          </w:p>
        </w:tc>
        <w:tc>
          <w:tcPr>
            <w:tcW w:w="2200" w:type="dxa"/>
            <w:vAlign w:val="bottom"/>
            <w:gridSpan w:val="2"/>
          </w:tcPr>
          <w:p>
            <w:pPr>
              <w:spacing w:after="0"/>
              <w:rPr>
                <w:sz w:val="21"/>
                <w:szCs w:val="21"/>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16</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Item 1C. Cybersecurity</w:t>
            </w:r>
          </w:p>
        </w:tc>
        <w:tc>
          <w:tcPr>
            <w:tcW w:w="5920" w:type="dxa"/>
            <w:vAlign w:val="bottom"/>
            <w:gridSpan w:val="10"/>
          </w:tcPr>
          <w:p>
            <w:pPr>
              <w:spacing w:after="0"/>
              <w:rPr>
                <w:sz w:val="21"/>
                <w:szCs w:val="21"/>
                <w:color w:val="auto"/>
              </w:rPr>
            </w:pPr>
          </w:p>
        </w:tc>
        <w:tc>
          <w:tcPr>
            <w:tcW w:w="2200" w:type="dxa"/>
            <w:vAlign w:val="bottom"/>
            <w:gridSpan w:val="2"/>
          </w:tcPr>
          <w:p>
            <w:pPr>
              <w:spacing w:after="0"/>
              <w:rPr>
                <w:sz w:val="21"/>
                <w:szCs w:val="21"/>
                <w:color w:val="auto"/>
              </w:rPr>
            </w:pPr>
          </w:p>
        </w:tc>
        <w:tc>
          <w:tcPr>
            <w:tcW w:w="14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66</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2. Properties</w:t>
            </w:r>
          </w:p>
        </w:tc>
        <w:tc>
          <w:tcPr>
            <w:tcW w:w="6960" w:type="dxa"/>
            <w:vAlign w:val="bottom"/>
            <w:gridSpan w:val="16"/>
          </w:tcPr>
          <w:p>
            <w:pPr>
              <w:spacing w:after="0"/>
              <w:rPr>
                <w:sz w:val="21"/>
                <w:szCs w:val="21"/>
                <w:color w:val="auto"/>
              </w:rPr>
            </w:pPr>
          </w:p>
        </w:tc>
        <w:tc>
          <w:tcPr>
            <w:tcW w:w="2200" w:type="dxa"/>
            <w:vAlign w:val="bottom"/>
            <w:gridSpan w:val="2"/>
          </w:tcPr>
          <w:p>
            <w:pPr>
              <w:spacing w:after="0"/>
              <w:rPr>
                <w:sz w:val="21"/>
                <w:szCs w:val="21"/>
                <w:color w:val="auto"/>
              </w:rPr>
            </w:pPr>
          </w:p>
        </w:tc>
        <w:tc>
          <w:tcPr>
            <w:tcW w:w="14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67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3. Legal Proceedings</w:t>
            </w:r>
          </w:p>
        </w:tc>
        <w:tc>
          <w:tcPr>
            <w:tcW w:w="6740" w:type="dxa"/>
            <w:vAlign w:val="bottom"/>
            <w:gridSpan w:val="15"/>
          </w:tcPr>
          <w:p>
            <w:pPr>
              <w:spacing w:after="0"/>
              <w:rPr>
                <w:sz w:val="21"/>
                <w:szCs w:val="21"/>
                <w:color w:val="auto"/>
              </w:rPr>
            </w:pPr>
          </w:p>
        </w:tc>
        <w:tc>
          <w:tcPr>
            <w:tcW w:w="2200" w:type="dxa"/>
            <w:vAlign w:val="bottom"/>
            <w:gridSpan w:val="2"/>
          </w:tcPr>
          <w:p>
            <w:pPr>
              <w:spacing w:after="0"/>
              <w:rPr>
                <w:sz w:val="21"/>
                <w:szCs w:val="21"/>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67</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Part II</w:t>
            </w:r>
          </w:p>
        </w:tc>
        <w:tc>
          <w:tcPr>
            <w:tcW w:w="1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2200" w:type="dxa"/>
            <w:vAlign w:val="bottom"/>
            <w:gridSpan w:val="2"/>
          </w:tcPr>
          <w:p>
            <w:pPr>
              <w:spacing w:after="0"/>
              <w:rPr>
                <w:sz w:val="21"/>
                <w:szCs w:val="21"/>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68</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6. Reserved</w:t>
            </w: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Item 7. Management’s Discussion and Analysis of Financial Condition and Results of Operations</w:t>
            </w:r>
          </w:p>
        </w:tc>
        <w:tc>
          <w:tcPr>
            <w:tcW w:w="1620" w:type="dxa"/>
            <w:vAlign w:val="bottom"/>
            <w:gridSpan w:val="2"/>
          </w:tcPr>
          <w:p>
            <w:pPr>
              <w:spacing w:after="0"/>
              <w:rPr>
                <w:sz w:val="21"/>
                <w:szCs w:val="21"/>
                <w:color w:val="auto"/>
              </w:rPr>
            </w:pPr>
          </w:p>
        </w:tc>
        <w:tc>
          <w:tcPr>
            <w:tcW w:w="2200" w:type="dxa"/>
            <w:vAlign w:val="bottom"/>
            <w:gridSpan w:val="2"/>
          </w:tcPr>
          <w:p>
            <w:pPr>
              <w:spacing w:after="0"/>
              <w:rPr>
                <w:sz w:val="21"/>
                <w:szCs w:val="21"/>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69</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3600" w:type="dxa"/>
            <w:vAlign w:val="bottom"/>
            <w:gridSpan w:val="6"/>
          </w:tcPr>
          <w:p>
            <w:pPr>
              <w:spacing w:after="0"/>
              <w:rPr>
                <w:sz w:val="21"/>
                <w:szCs w:val="21"/>
                <w:color w:val="auto"/>
              </w:rPr>
            </w:pPr>
          </w:p>
        </w:tc>
        <w:tc>
          <w:tcPr>
            <w:tcW w:w="2200" w:type="dxa"/>
            <w:vAlign w:val="bottom"/>
            <w:gridSpan w:val="2"/>
          </w:tcPr>
          <w:p>
            <w:pPr>
              <w:spacing w:after="0"/>
              <w:rPr>
                <w:sz w:val="21"/>
                <w:szCs w:val="21"/>
                <w:color w:val="auto"/>
              </w:rPr>
            </w:pPr>
          </w:p>
        </w:tc>
        <w:tc>
          <w:tcPr>
            <w:tcW w:w="14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82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9. Changes In and Disagreement With Accountants on Accounting and Financial Disclosure</w:t>
            </w:r>
          </w:p>
        </w:tc>
        <w:tc>
          <w:tcPr>
            <w:tcW w:w="2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108</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7"/>
              </w:rPr>
              <w:t>Item 9A. Controls and Procedures</w:t>
            </w:r>
          </w:p>
        </w:tc>
        <w:tc>
          <w:tcPr>
            <w:tcW w:w="4560" w:type="dxa"/>
            <w:vAlign w:val="bottom"/>
            <w:gridSpan w:val="8"/>
          </w:tcPr>
          <w:p>
            <w:pPr>
              <w:spacing w:after="0"/>
              <w:rPr>
                <w:sz w:val="21"/>
                <w:szCs w:val="21"/>
                <w:color w:val="auto"/>
              </w:rPr>
            </w:pPr>
          </w:p>
        </w:tc>
        <w:tc>
          <w:tcPr>
            <w:tcW w:w="1640" w:type="dxa"/>
            <w:vAlign w:val="bottom"/>
            <w:gridSpan w:val="3"/>
          </w:tcPr>
          <w:p>
            <w:pPr>
              <w:spacing w:after="0"/>
              <w:rPr>
                <w:sz w:val="21"/>
                <w:szCs w:val="21"/>
                <w:color w:val="auto"/>
              </w:rPr>
            </w:pPr>
          </w:p>
        </w:tc>
        <w:tc>
          <w:tcPr>
            <w:tcW w:w="2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108</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Item 9B. Other Information</w:t>
            </w:r>
          </w:p>
        </w:tc>
        <w:tc>
          <w:tcPr>
            <w:tcW w:w="440" w:type="dxa"/>
            <w:vAlign w:val="bottom"/>
            <w:gridSpan w:val="3"/>
          </w:tcPr>
          <w:p>
            <w:pPr>
              <w:spacing w:after="0"/>
              <w:rPr>
                <w:sz w:val="21"/>
                <w:szCs w:val="21"/>
                <w:color w:val="auto"/>
              </w:rPr>
            </w:pPr>
          </w:p>
        </w:tc>
        <w:tc>
          <w:tcPr>
            <w:tcW w:w="6200" w:type="dxa"/>
            <w:vAlign w:val="bottom"/>
            <w:gridSpan w:val="11"/>
          </w:tcPr>
          <w:p>
            <w:pPr>
              <w:spacing w:after="0"/>
              <w:rPr>
                <w:sz w:val="21"/>
                <w:szCs w:val="21"/>
                <w:color w:val="auto"/>
              </w:rPr>
            </w:pPr>
          </w:p>
        </w:tc>
        <w:tc>
          <w:tcPr>
            <w:tcW w:w="2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5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Item 9C. Disclosure Regarding Foreign Jurisdictions that Prevent Inspections</w:t>
            </w:r>
          </w:p>
        </w:tc>
        <w:tc>
          <w:tcPr>
            <w:tcW w:w="3060" w:type="dxa"/>
            <w:vAlign w:val="bottom"/>
            <w:gridSpan w:val="5"/>
          </w:tcPr>
          <w:p>
            <w:pPr>
              <w:spacing w:after="0"/>
              <w:rPr>
                <w:sz w:val="21"/>
                <w:szCs w:val="21"/>
                <w:color w:val="auto"/>
              </w:rPr>
            </w:pPr>
          </w:p>
        </w:tc>
        <w:tc>
          <w:tcPr>
            <w:tcW w:w="2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Part III</w:t>
            </w:r>
          </w:p>
        </w:tc>
        <w:tc>
          <w:tcPr>
            <w:tcW w:w="1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Item 10. Directors, Executive Officers and Corporate Governance</w:t>
            </w:r>
          </w:p>
        </w:tc>
        <w:tc>
          <w:tcPr>
            <w:tcW w:w="3900" w:type="dxa"/>
            <w:vAlign w:val="bottom"/>
            <w:gridSpan w:val="7"/>
          </w:tcPr>
          <w:p>
            <w:pPr>
              <w:spacing w:after="0"/>
              <w:rPr>
                <w:sz w:val="21"/>
                <w:szCs w:val="21"/>
                <w:color w:val="auto"/>
              </w:rPr>
            </w:pPr>
          </w:p>
        </w:tc>
        <w:tc>
          <w:tcPr>
            <w:tcW w:w="2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110</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3900" w:type="dxa"/>
            <w:vAlign w:val="bottom"/>
            <w:gridSpan w:val="7"/>
          </w:tcPr>
          <w:p>
            <w:pPr>
              <w:spacing w:after="0"/>
              <w:rPr>
                <w:sz w:val="21"/>
                <w:szCs w:val="21"/>
                <w:color w:val="auto"/>
              </w:rPr>
            </w:pPr>
          </w:p>
        </w:tc>
        <w:tc>
          <w:tcPr>
            <w:tcW w:w="2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110</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9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Item 12. Security Ownership of Certain Beneficial Owners and Management and Related Stockholder Matters</w:t>
            </w:r>
          </w:p>
        </w:tc>
        <w:tc>
          <w:tcPr>
            <w:tcW w:w="700" w:type="dxa"/>
            <w:vAlign w:val="bottom"/>
          </w:tcPr>
          <w:p>
            <w:pPr>
              <w:spacing w:after="0"/>
              <w:rPr>
                <w:sz w:val="21"/>
                <w:szCs w:val="21"/>
                <w:color w:val="auto"/>
              </w:rPr>
            </w:pPr>
          </w:p>
        </w:tc>
        <w:tc>
          <w:tcPr>
            <w:tcW w:w="2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110</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580" w:type="dxa"/>
            <w:vAlign w:val="bottom"/>
            <w:tcBorders>
              <w:left w:val="single" w:sz="8" w:color="0000FF"/>
            </w:tcBorders>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Item 13. Certain Relationships and Related Transactions, and Director Independence</w:t>
            </w:r>
          </w:p>
        </w:tc>
        <w:tc>
          <w:tcPr>
            <w:tcW w:w="1840" w:type="dxa"/>
            <w:vAlign w:val="bottom"/>
            <w:gridSpan w:val="3"/>
          </w:tcPr>
          <w:p>
            <w:pPr>
              <w:spacing w:after="0"/>
              <w:rPr>
                <w:sz w:val="21"/>
                <w:szCs w:val="21"/>
                <w:color w:val="auto"/>
              </w:rPr>
            </w:pPr>
          </w:p>
        </w:tc>
        <w:tc>
          <w:tcPr>
            <w:tcW w:w="700" w:type="dxa"/>
            <w:vAlign w:val="bottom"/>
          </w:tcPr>
          <w:p>
            <w:pPr>
              <w:spacing w:after="0"/>
              <w:rPr>
                <w:sz w:val="21"/>
                <w:szCs w:val="21"/>
                <w:color w:val="auto"/>
              </w:rPr>
            </w:pPr>
          </w:p>
        </w:tc>
        <w:tc>
          <w:tcPr>
            <w:tcW w:w="2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110</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580" w:type="dxa"/>
            <w:vAlign w:val="bottom"/>
            <w:tcBorders>
              <w:left w:val="single" w:sz="8" w:color="0000FF"/>
            </w:tcBorders>
            <w:gridSpan w:val="5"/>
            <w:shd w:val="clear" w:color="auto" w:fill="0000FF"/>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2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14. Principal Accounting Fees and Services</w:t>
            </w:r>
          </w:p>
        </w:tc>
        <w:tc>
          <w:tcPr>
            <w:tcW w:w="2580" w:type="dxa"/>
            <w:vAlign w:val="bottom"/>
            <w:gridSpan w:val="5"/>
          </w:tcPr>
          <w:p>
            <w:pPr>
              <w:spacing w:after="0"/>
              <w:rPr>
                <w:sz w:val="21"/>
                <w:szCs w:val="21"/>
                <w:color w:val="auto"/>
              </w:rPr>
            </w:pPr>
          </w:p>
        </w:tc>
        <w:tc>
          <w:tcPr>
            <w:tcW w:w="2540" w:type="dxa"/>
            <w:vAlign w:val="bottom"/>
            <w:gridSpan w:val="4"/>
          </w:tcPr>
          <w:p>
            <w:pPr>
              <w:spacing w:after="0"/>
              <w:rPr>
                <w:sz w:val="21"/>
                <w:szCs w:val="21"/>
                <w:color w:val="auto"/>
              </w:rPr>
            </w:pPr>
          </w:p>
        </w:tc>
        <w:tc>
          <w:tcPr>
            <w:tcW w:w="2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110</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Part IV</w:t>
            </w:r>
          </w:p>
        </w:tc>
        <w:tc>
          <w:tcPr>
            <w:tcW w:w="8320" w:type="dxa"/>
            <w:vAlign w:val="bottom"/>
            <w:gridSpan w:val="21"/>
          </w:tcPr>
          <w:p>
            <w:pPr>
              <w:spacing w:after="0"/>
              <w:rPr>
                <w:sz w:val="21"/>
                <w:szCs w:val="21"/>
                <w:color w:val="auto"/>
              </w:rPr>
            </w:pPr>
          </w:p>
        </w:tc>
        <w:tc>
          <w:tcPr>
            <w:tcW w:w="1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15. Exhibits, Financial Statement Schedules</w:t>
            </w:r>
          </w:p>
        </w:tc>
        <w:tc>
          <w:tcPr>
            <w:tcW w:w="2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111</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Item 16. Form 10-K Summary</w:t>
            </w:r>
          </w:p>
        </w:tc>
        <w:tc>
          <w:tcPr>
            <w:tcW w:w="1320" w:type="dxa"/>
            <w:vAlign w:val="bottom"/>
            <w:gridSpan w:val="4"/>
          </w:tcPr>
          <w:p>
            <w:pPr>
              <w:spacing w:after="0"/>
              <w:rPr>
                <w:sz w:val="21"/>
                <w:szCs w:val="21"/>
                <w:color w:val="auto"/>
              </w:rPr>
            </w:pPr>
          </w:p>
        </w:tc>
        <w:tc>
          <w:tcPr>
            <w:tcW w:w="5120" w:type="dxa"/>
            <w:vAlign w:val="bottom"/>
            <w:gridSpan w:val="9"/>
          </w:tcPr>
          <w:p>
            <w:pPr>
              <w:spacing w:after="0"/>
              <w:rPr>
                <w:sz w:val="21"/>
                <w:szCs w:val="21"/>
                <w:color w:val="auto"/>
              </w:rPr>
            </w:pPr>
          </w:p>
        </w:tc>
        <w:tc>
          <w:tcPr>
            <w:tcW w:w="2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113</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40" w:type="dxa"/>
            <w:vAlign w:val="bottom"/>
            <w:gridSpan w:val="13"/>
          </w:tcPr>
          <w:p>
            <w:pPr>
              <w:spacing w:after="0"/>
              <w:rPr>
                <w:sz w:val="21"/>
                <w:szCs w:val="21"/>
                <w:color w:val="auto"/>
              </w:rPr>
            </w:pPr>
          </w:p>
        </w:tc>
        <w:tc>
          <w:tcPr>
            <w:tcW w:w="2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114</w:t>
            </w:r>
          </w:p>
        </w:tc>
      </w:tr>
      <w:tr>
        <w:trPr>
          <w:trHeight w:val="1796"/>
        </w:trPr>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89"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involve substantial risks and uncertainties. All statements, other than statements of historical facts, contained in this Annual Report, including statements regarding our strategy, future operations, future financial position, future revenue, projected costs, prospects, plans, and objectives of management, are forward-looking statements. In some cases, you can identify forward-looking statements by terms such as “may,” “will,” “should,” “would,” “expect,” “plan,” “anticipate,” “could,” “might,” “intend,” “target,” “ongoing,” “project,” “estimate,” “believe,” “estimate,” “predict,” “potential” or “continue” or the negative of these terms or other similar expressions intended to identify statements about the future. These statements speak only as of the date of this Annual Report and involve known and unknown risks, uncertainties and other important factors that may cause our actual results, levels of activity, performance or achievements to be materially different from any future results, levels of activity,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w:t>
      </w:r>
    </w:p>
    <w:p>
      <w:pPr>
        <w:spacing w:after="0" w:line="167" w:lineRule="exact"/>
        <w:rPr>
          <w:sz w:val="20"/>
          <w:szCs w:val="20"/>
          <w:color w:val="auto"/>
        </w:rPr>
      </w:pPr>
    </w:p>
    <w:p>
      <w:pPr>
        <w:ind w:left="1140" w:hanging="646"/>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in-license or acquire and develop additional novel therapeutic candidates;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 for or ability to obtain additional funding;</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 including executive officers and members of management;</w:t>
      </w:r>
    </w:p>
    <w:p>
      <w:pPr>
        <w:spacing w:after="0" w:line="117" w:lineRule="exact"/>
        <w:rPr>
          <w:rFonts w:ascii="Times New Roman" w:cs="Times New Roman" w:eastAsia="Times New Roman" w:hAnsi="Times New Roman"/>
          <w:sz w:val="18"/>
          <w:szCs w:val="18"/>
          <w:color w:val="auto"/>
        </w:rPr>
      </w:pPr>
    </w:p>
    <w:p>
      <w:pPr>
        <w:ind w:left="1140" w:right="120" w:hanging="646"/>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intellectual property licensed from third parties and our ability to obtain such licenses on commercially reasonable terms or at all;</w:t>
      </w:r>
    </w:p>
    <w:p>
      <w:pPr>
        <w:spacing w:after="0" w:line="53" w:lineRule="exact"/>
        <w:rPr>
          <w:rFonts w:ascii="Times New Roman" w:cs="Times New Roman" w:eastAsia="Times New Roman" w:hAnsi="Times New Roman"/>
          <w:sz w:val="18"/>
          <w:szCs w:val="18"/>
          <w:color w:val="auto"/>
        </w:rPr>
      </w:pPr>
    </w:p>
    <w:p>
      <w:pPr>
        <w:ind w:left="1140" w:right="180" w:hanging="646"/>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position for any product candidates we may in-license or acquire, and the scope of such protection;</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140" w:right="640" w:hanging="646"/>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cash equivalents and marketable securities will be sufficient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1140" w:right="160" w:hanging="646"/>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Jumpstart Our Business Startups Act of 2012;</w:t>
      </w:r>
    </w:p>
    <w:p>
      <w:pPr>
        <w:spacing w:after="0" w:line="53" w:lineRule="exact"/>
        <w:rPr>
          <w:rFonts w:ascii="Times New Roman" w:cs="Times New Roman" w:eastAsia="Times New Roman" w:hAnsi="Times New Roman"/>
          <w:sz w:val="18"/>
          <w:szCs w:val="18"/>
          <w:color w:val="auto"/>
        </w:rPr>
      </w:pPr>
    </w:p>
    <w:p>
      <w:pPr>
        <w:ind w:left="1140" w:right="460" w:hanging="646"/>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conditions, including increases in interest rates, inflation, and foreign and domestic tariffs, on the costs of raw materials, wages, manufacturing and clinical trials and on borrowing costs; and</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anticipated amounts of future tax payments and benefits (including the potential recognition of unrecognized tax benefits), as well as timing of conclusion of tax audits.</w:t>
      </w:r>
    </w:p>
    <w:p>
      <w:pPr>
        <w:spacing w:after="0" w:line="12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have filed as exhibits to this Annual Report completely and with the understanding that our actual future results may be materially different from what we expect. The forward-looking statements contained in this Annual Report are made as of the date of this Annual Report, and we do not assume any obligation to update any forward-looking statements, whether as a result of new information, future events or otherwise, except as required by applicable law. We have included important factors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this Annual Report, particularly in the “Risk Factor Summary” and “Risk Factors” sections, that could cause actual results or events to differ materially from the forward-looking statements that we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417" w:right="679" w:bottom="1440" w:gutter="0" w:footer="0" w:header="0"/>
        </w:sectPr>
      </w:pPr>
    </w:p>
    <w:bookmarkStart w:id="5" w:name="page6"/>
    <w:bookmarkEnd w:id="5"/>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Below is a summary of material factors that make an investment in our securities speculative or risky. Importantly, this summary does not address every aspect of our risk factors, all of the risks that we face, or other factors not presently known to us or that we currently believe are immaterial. Additional discussion of the risks summarized in this Risk Factor Summary, as well as other risks that we face, can be found under the heading “Risk Factors” in Part I of this Annual Report.</w:t>
      </w:r>
    </w:p>
    <w:p>
      <w:pPr>
        <w:spacing w:after="0" w:line="155"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 decision to invest in our common stock. These risks include, among others, the following:</w:t>
      </w:r>
    </w:p>
    <w:p>
      <w:pPr>
        <w:spacing w:after="0" w:line="121" w:lineRule="exact"/>
        <w:rPr>
          <w:sz w:val="20"/>
          <w:szCs w:val="20"/>
          <w:color w:val="auto"/>
        </w:rPr>
      </w:pPr>
    </w:p>
    <w:p>
      <w:pPr>
        <w:ind w:left="1140" w:right="80" w:hanging="646"/>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have identified an indicator of substantial doubt about our ability to continue as a going concern. We expect to incur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1140" w:right="380" w:hanging="646"/>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no history of completing any clinical trial or commercializing any product, which may make it difficult for an investor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1140" w:right="40" w:hanging="646"/>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to meet our financial obligations and to pursue our business objectives. If we are unable to raise capital when needed, we could be forced to delay or curtail our planned operations and the pursuit of our strategy.</w:t>
      </w:r>
    </w:p>
    <w:p>
      <w:pPr>
        <w:spacing w:after="0" w:line="53" w:lineRule="exact"/>
        <w:rPr>
          <w:rFonts w:ascii="Times New Roman" w:cs="Times New Roman" w:eastAsia="Times New Roman" w:hAnsi="Times New Roman"/>
          <w:sz w:val="18"/>
          <w:szCs w:val="18"/>
          <w:color w:val="auto"/>
        </w:rPr>
      </w:pPr>
    </w:p>
    <w:p>
      <w:pPr>
        <w:jc w:val="both"/>
        <w:ind w:left="1140" w:right="80" w:hanging="646"/>
        <w:spacing w:after="0" w:line="266"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do not have a product candidate in active development. We have, and we may in the future, engage in strategic transactions to license or otherwise acquire new product candidates or technologies, and we may not be successful in licensing or otherwise acquiring new product candidates, or in developing or commercializing any such product candidates.</w:t>
      </w:r>
    </w:p>
    <w:p>
      <w:pPr>
        <w:spacing w:after="0" w:line="67" w:lineRule="exact"/>
        <w:rPr>
          <w:rFonts w:ascii="Times New Roman" w:cs="Times New Roman" w:eastAsia="Times New Roman" w:hAnsi="Times New Roman"/>
          <w:sz w:val="18"/>
          <w:szCs w:val="18"/>
          <w:color w:val="auto"/>
        </w:rPr>
      </w:pPr>
    </w:p>
    <w:p>
      <w:pPr>
        <w:ind w:left="1140" w:right="20" w:hanging="646"/>
        <w:spacing w:after="0" w:line="261"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or FDA, Medicines and Healthcare Products Regulatory Agency, or MHRA, European Medicines Agency, or EMA, and comparable foreign authorities are lengthy, time consuming and inherently unpredictable. If we are not able to obtain required regulatory approval for any product candidate we may seek to develop, our business will be substantially harmed.</w:t>
      </w:r>
    </w:p>
    <w:p>
      <w:pPr>
        <w:spacing w:after="0" w:line="71" w:lineRule="exact"/>
        <w:rPr>
          <w:rFonts w:ascii="Times New Roman" w:cs="Times New Roman" w:eastAsia="Times New Roman" w:hAnsi="Times New Roman"/>
          <w:sz w:val="18"/>
          <w:szCs w:val="18"/>
          <w:color w:val="auto"/>
        </w:rPr>
      </w:pPr>
    </w:p>
    <w:p>
      <w:pPr>
        <w:ind w:left="1140" w:right="320" w:hanging="646"/>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or earlier clinical trials may not be indicative of results in future clinical trials. Any product candidates we may seek to develop may not have favorable results in later clinical trials, if any, or receive regulatory approval.</w:t>
      </w:r>
    </w:p>
    <w:p>
      <w:pPr>
        <w:spacing w:after="0" w:line="53" w:lineRule="exact"/>
        <w:rPr>
          <w:rFonts w:ascii="Times New Roman" w:cs="Times New Roman" w:eastAsia="Times New Roman" w:hAnsi="Times New Roman"/>
          <w:sz w:val="18"/>
          <w:szCs w:val="18"/>
          <w:color w:val="auto"/>
        </w:rPr>
      </w:pPr>
    </w:p>
    <w:p>
      <w:pPr>
        <w:ind w:left="1140" w:right="40" w:hanging="646"/>
        <w:spacing w:after="0" w:line="261"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Therapeutic product candidates can be complex and difficult to manufacture. We intend to rely on third parties to produce clinical supply of any product candidates we may seek to develop, and commercial supplies of any approved product. This reliance on third parties increases the risk that we will not have sufficient quantities of our product candidates or any approved products or such quantities at an acceptable cost or quality,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ind w:left="1140" w:right="420" w:hanging="646"/>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from non-profit institutions, which may result in others acquiring,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1140" w:right="260" w:hanging="646"/>
        <w:spacing w:after="0" w:line="261"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future licensors are unable to obtain and maintain sufficient patent protection for any product candidate we may seek to develop, or if the scope of the patent protection is not sufficiently broad, third parties, including our potential competitors, could develop and commercialize products similar or identical to ours, and our ability to commercialize such product candidates may be adversely affected.</w:t>
      </w:r>
    </w:p>
    <w:p>
      <w:pPr>
        <w:spacing w:after="0" w:line="71" w:lineRule="exact"/>
        <w:rPr>
          <w:rFonts w:ascii="Times New Roman" w:cs="Times New Roman" w:eastAsia="Times New Roman" w:hAnsi="Times New Roman"/>
          <w:sz w:val="18"/>
          <w:szCs w:val="18"/>
          <w:color w:val="auto"/>
        </w:rPr>
      </w:pPr>
    </w:p>
    <w:p>
      <w:pPr>
        <w:ind w:left="1140" w:right="60" w:hanging="646"/>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their intellectual property rights, the outcome of which would be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924560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ind w:left="646" w:hanging="646"/>
        <w:spacing w:after="0" w:line="261" w:lineRule="auto"/>
        <w:tabs>
          <w:tab w:leader="none" w:pos="6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variety of stringent and evolving laws, regulations, rules, contractual obligations, policies and other obligations related to data privacy and data security, and our actual or perceived failure to comply with them could lead to regulatory investigations or actions; litigation; fines and penalties; disruptions of our business operations; reputational harm; loss of revenue or profits and other adverse business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867410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6"/>
          </w:cols>
          <w:pgMar w:left="814" w:top="1417" w:right="41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are a biotechnology company focused on identifying and advancing innovative therapeutic opportunities.</w:t>
      </w:r>
    </w:p>
    <w:p>
      <w:pPr>
        <w:spacing w:after="0" w:line="185" w:lineRule="exact"/>
        <w:rPr>
          <w:sz w:val="20"/>
          <w:szCs w:val="20"/>
          <w:color w:val="auto"/>
        </w:rPr>
      </w:pPr>
    </w:p>
    <w:p>
      <w:pPr>
        <w:ind w:right="320" w:firstLine="405"/>
        <w:spacing w:after="0" w:line="256" w:lineRule="auto"/>
        <w:rPr>
          <w:sz w:val="20"/>
          <w:szCs w:val="20"/>
          <w:color w:val="auto"/>
        </w:rPr>
      </w:pPr>
      <w:r>
        <w:rPr>
          <w:rFonts w:ascii="Times New Roman" w:cs="Times New Roman" w:eastAsia="Times New Roman" w:hAnsi="Times New Roman"/>
          <w:sz w:val="18"/>
          <w:szCs w:val="18"/>
          <w:color w:val="auto"/>
        </w:rPr>
        <w:t>In January 2026 we announced our wholly owned subsidiary, Axion Bio, Inc., or Axion Bio, was discontinuing development of our former lead product candidate, AXN-2510, a bispecific antibody targeting both programmed death-ligand 1 and the family of vascular endothelial growth factors in solid tumor cancers. Axion Bio in-licensed AXN-2510 from ImmuneOnco Biopharmaceuticals (Shanghai) Inc., or ImmuneOnco, in August 2024. The license and collaboration agreement with ImmuneOnco was terminated in January 2026. Prior to developing AXN-2510, our development efforts were focused on pursuing the development of cell therapies, including our proprietary folate receptor alpha co-stimulatory antigen receptor (CoStAR) tumor infiltrating lymphocyte (TIL) cell therapy for the treatment of cancer.</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are actively seeking to in-license or acquire and develop additional novel therapeutic candidates in diseases with significant unmet medical need.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strategy is to pursue potential acquisitions or in-licensing of therapeutic candidates.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the rapid evolution of technologies and understanding of disease etiology, intense competition and a strong emphasis on intellectual property. We believe that our approach, strategy and experience provide us with certain competitive advantages. However, we expect substantial competition from many sources, including major pharmaceutical, specialty pharmaceutical, and existing or emerging biotechnology companies. Many of our potential competitors, either alone or through collaborations, have significantly greater financial resources and expertise in identifying acquisition and in-licensing opportunities, research and development, manufacturing, preclinical testing, conducting clinical trials, obtaining regulatory approvals and marketing approved products than we do. These entities also compete with us in recruiting and retaining qualified personnel and, assuming we in-license or acquire one or more new therapeutic product candidates, in establishing clinical trial sites and patient enrollment in clinical trials, as well as in acquiring complementary or necessary technologies. As a result, potential competitors may discover, develop, license or commercialize products before or more successfully than we do.</w:t>
      </w:r>
    </w:p>
    <w:p>
      <w:pPr>
        <w:spacing w:after="0" w:line="14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could see a reduction or elimination in our potential commercial opportunity if our competitors discover, develop and commercialize drugs that are safer, more effective, have fewer or less severe side effects, are more convenient to administer, are less expensive or with a more favorable label than any product candidate we may develop. Our competitors also may obtain U.S. Food and Drug Administration, or FDA, or other regulatory approval for their drugs more rapidly than we may obtain approval for any product we may in-license or otherwise acquire and subsequently develop, which could result in competitors establishing a strong market position before we are able to enter the market. The key competitive factors affecting the success of any product candidates we may license or otherwise acquire, if approved, are likely to be their efficacy, safety, convenience, price and the availability of reimbursement from government and other third-party payors.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Our commercial success will likely depend in part on our ability to obtain and maintain patent and other proprietary protection for commercially important technology, inventions, improvements and know-how; defend and enforce patents and other intellectual property; preserve the confidentiality of trade secrets; and operate without infringing or otherwise violating the valid enforceable patents and proprietary rights of third parties. Our ability to stop third parties from making, using, selling, offering to sell or importing products we may license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978535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spacing w:after="0" w:line="15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acquire and subsequently develop may depend on the extent to which we have rights under valid and enforceable patents or trade secrets that cover these activities. With respect to any licensed or company-owned intellectual property we may acquire, we cannot be sure that patents will be granted with respect to any patent applications filed by us, nor can we be sure that any patents that may be granted to us in the future will be commercially useful in protecting our commercial products and methods of manufacturing the same. We may rely, in some circumstances, on trade secrets to protect any technology we may license or otherwise acquire. However, trade secrets can be difficult to protect. See “Risk Factors – Risks Related to Our Intellectual Property.”</w:t>
      </w:r>
    </w:p>
    <w:p>
      <w:pPr>
        <w:spacing w:after="0" w:line="141" w:lineRule="exact"/>
        <w:rPr>
          <w:sz w:val="20"/>
          <w:szCs w:val="20"/>
          <w:color w:val="auto"/>
        </w:rPr>
      </w:pPr>
    </w:p>
    <w:p>
      <w:pPr>
        <w:ind w:right="60" w:firstLine="405"/>
        <w:spacing w:after="0" w:line="281" w:lineRule="auto"/>
        <w:rPr>
          <w:sz w:val="20"/>
          <w:szCs w:val="20"/>
          <w:color w:val="auto"/>
        </w:rPr>
      </w:pPr>
      <w:r>
        <w:rPr>
          <w:rFonts w:ascii="Times New Roman" w:cs="Times New Roman" w:eastAsia="Times New Roman" w:hAnsi="Times New Roman"/>
          <w:sz w:val="17"/>
          <w:szCs w:val="17"/>
          <w:color w:val="auto"/>
        </w:rPr>
        <w:t>We intend to seek to protect technology, inventions, and other intellectual property that is commercially important to the development of our business by a variety of means, such as seeking, maintaining, and defending patent rights, whether developed internally or licensed from third parties. We also intend to seek patent protection or rely upon trade secret rights to protect other technologies that may be used to manufacture and develop novel product candidates. Additional regulatory protection may also be afforded through data exclusivity, market exclusivity and patent term extensions where available.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9"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therapeutic products. If we are successful in licensing-in or otherwise acquiring new therapeutic product candidates, we, along with third-party contractors, will be required to navigate the various preclinical, clinical and commercial approval requirements of the governing regulatory agencies of the countries in which we wish to conduct studies or seek approval or licensure of such product candidates. The process of obtaining regulatory approvals and the subsequent compliance with applicable federal, state, local and foreign statutes and regulations require the expenditure of substantial time and financial resources.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U.S. Drugs and Biologics Regulation</w:t>
      </w:r>
    </w:p>
    <w:p>
      <w:pPr>
        <w:spacing w:after="0" w:line="187" w:lineRule="exact"/>
        <w:rPr>
          <w:sz w:val="20"/>
          <w:szCs w:val="20"/>
          <w:color w:val="auto"/>
        </w:rPr>
      </w:pPr>
    </w:p>
    <w:p>
      <w:pPr>
        <w:ind w:right="580" w:firstLine="405"/>
        <w:spacing w:after="0" w:line="266" w:lineRule="auto"/>
        <w:rPr>
          <w:sz w:val="20"/>
          <w:szCs w:val="20"/>
          <w:color w:val="auto"/>
        </w:rPr>
      </w:pPr>
      <w:r>
        <w:rPr>
          <w:rFonts w:ascii="Times New Roman" w:cs="Times New Roman" w:eastAsia="Times New Roman" w:hAnsi="Times New Roman"/>
          <w:sz w:val="18"/>
          <w:szCs w:val="18"/>
          <w:color w:val="auto"/>
        </w:rPr>
        <w:t>In the United States, drug and biological products are subject to regulation under the Federal Food, Drug, and Cosmetic Act, the Public Health Service Act, and other federal, state, local and foreign statutes and regulations. The process required by the FDA before drugs or biologics may be marketed in the United States generally involves the following:</w:t>
      </w:r>
    </w:p>
    <w:p>
      <w:pPr>
        <w:spacing w:after="0" w:line="135" w:lineRule="exact"/>
        <w:rPr>
          <w:sz w:val="20"/>
          <w:szCs w:val="20"/>
          <w:color w:val="auto"/>
        </w:rPr>
      </w:pPr>
    </w:p>
    <w:p>
      <w:pPr>
        <w:ind w:left="1140" w:right="880" w:hanging="646"/>
        <w:spacing w:after="0" w:line="282" w:lineRule="auto"/>
        <w:tabs>
          <w:tab w:leader="none" w:pos="1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Good Laboratory Practice requirements, or GLP;</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clinical trials may begin;</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ethics committee at each clinical site before the trial is commenced;</w:t>
      </w:r>
    </w:p>
    <w:p>
      <w:pPr>
        <w:spacing w:after="0" w:line="117" w:lineRule="exact"/>
        <w:rPr>
          <w:rFonts w:ascii="Times New Roman" w:cs="Times New Roman" w:eastAsia="Times New Roman" w:hAnsi="Times New Roman"/>
          <w:sz w:val="18"/>
          <w:szCs w:val="18"/>
          <w:color w:val="auto"/>
        </w:rPr>
      </w:pPr>
    </w:p>
    <w:p>
      <w:pPr>
        <w:ind w:left="1140" w:hanging="646"/>
        <w:spacing w:after="0" w:line="266" w:lineRule="auto"/>
        <w:tabs>
          <w:tab w:leader="none" w:pos="1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good clinical practice, or GCP, regulations and any additional requirements for the protection of human research subjects and their health information to establish the safety, purity and potency of the proposed biologic product candidate for its intended purpose;</w:t>
      </w:r>
    </w:p>
    <w:p>
      <w:pPr>
        <w:spacing w:after="0" w:line="67" w:lineRule="exact"/>
        <w:rPr>
          <w:rFonts w:ascii="Times New Roman" w:cs="Times New Roman" w:eastAsia="Times New Roman" w:hAnsi="Times New Roman"/>
          <w:sz w:val="18"/>
          <w:szCs w:val="18"/>
          <w:color w:val="auto"/>
        </w:rPr>
      </w:pPr>
    </w:p>
    <w:p>
      <w:pPr>
        <w:ind w:left="1140" w:right="800" w:hanging="646"/>
        <w:spacing w:after="0" w:line="282" w:lineRule="auto"/>
        <w:tabs>
          <w:tab w:leader="none" w:pos="1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New Drug Application, or NDA, or Biologic License Application, or a BLA, after completion of all pivotal clinical trials;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or BLA to file the application for review;</w:t>
      </w:r>
    </w:p>
    <w:p>
      <w:pPr>
        <w:spacing w:after="0" w:line="117" w:lineRule="exact"/>
        <w:rPr>
          <w:rFonts w:ascii="Times New Roman" w:cs="Times New Roman" w:eastAsia="Times New Roman" w:hAnsi="Times New Roman"/>
          <w:sz w:val="18"/>
          <w:szCs w:val="18"/>
          <w:color w:val="auto"/>
        </w:rPr>
      </w:pPr>
    </w:p>
    <w:p>
      <w:pPr>
        <w:ind w:left="1140" w:right="140" w:hanging="646"/>
        <w:spacing w:after="0" w:line="266" w:lineRule="auto"/>
        <w:tabs>
          <w:tab w:leader="none" w:pos="1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current Good Manufacturing Practice, or cGMP, and to assure that the facilities, methods and controls are adequate to preserve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ind w:left="1140" w:right="20"/>
        <w:spacing w:after="0" w:line="282" w:lineRule="auto"/>
        <w:rPr>
          <w:sz w:val="20"/>
          <w:szCs w:val="20"/>
          <w:color w:val="auto"/>
        </w:rPr>
      </w:pPr>
      <w:r>
        <w:rPr>
          <w:rFonts w:ascii="Times New Roman" w:cs="Times New Roman" w:eastAsia="Times New Roman" w:hAnsi="Times New Roman"/>
          <w:sz w:val="18"/>
          <w:szCs w:val="18"/>
          <w:color w:val="auto"/>
        </w:rPr>
        <w:t>product’s continued safety, purity and potency and of selected clinical investigation sites to assess compliance with Good Clinical Practices, or GCPs;</w:t>
      </w:r>
    </w:p>
    <w:p>
      <w:pPr>
        <w:spacing w:after="0" w:line="54" w:lineRule="exact"/>
        <w:rPr>
          <w:sz w:val="20"/>
          <w:szCs w:val="20"/>
          <w:color w:val="auto"/>
        </w:rPr>
      </w:pPr>
    </w:p>
    <w:p>
      <w:pPr>
        <w:ind w:left="1140" w:hanging="646"/>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study sites that generated the data in support of the NDA or BLA; and</w:t>
      </w:r>
    </w:p>
    <w:p>
      <w:pPr>
        <w:spacing w:after="0" w:line="117" w:lineRule="exact"/>
        <w:rPr>
          <w:rFonts w:ascii="Times New Roman" w:cs="Times New Roman" w:eastAsia="Times New Roman" w:hAnsi="Times New Roman"/>
          <w:sz w:val="18"/>
          <w:szCs w:val="18"/>
          <w:color w:val="auto"/>
        </w:rPr>
      </w:pPr>
    </w:p>
    <w:p>
      <w:pPr>
        <w:ind w:left="1140" w:right="500" w:hanging="646"/>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 to permit commercial marketing of the product for particular indications for use in the United States.</w:t>
      </w:r>
    </w:p>
    <w:p>
      <w:pPr>
        <w:spacing w:after="0" w:line="121" w:lineRule="exact"/>
        <w:rPr>
          <w:sz w:val="20"/>
          <w:szCs w:val="20"/>
          <w:color w:val="auto"/>
        </w:rPr>
      </w:pPr>
    </w:p>
    <w:p>
      <w:pPr>
        <w:ind w:right="300" w:firstLine="405"/>
        <w:spacing w:after="0" w:line="289" w:lineRule="auto"/>
        <w:rPr>
          <w:sz w:val="20"/>
          <w:szCs w:val="20"/>
          <w:color w:val="auto"/>
        </w:rPr>
      </w:pPr>
      <w:r>
        <w:rPr>
          <w:rFonts w:ascii="Times New Roman" w:cs="Times New Roman" w:eastAsia="Times New Roman" w:hAnsi="Times New Roman"/>
          <w:sz w:val="17"/>
          <w:szCs w:val="17"/>
          <w:color w:val="auto"/>
        </w:rPr>
        <w:t>Before testing any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31"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to humans.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51"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purposes of NDA or BLA approval, human clinical trials are typically conducted in three sequential phases that may overlap or be combined:</w:t>
      </w:r>
    </w:p>
    <w:p>
      <w:pPr>
        <w:spacing w:after="0" w:line="198" w:lineRule="exact"/>
        <w:rPr>
          <w:sz w:val="20"/>
          <w:szCs w:val="20"/>
          <w:color w:val="auto"/>
        </w:rPr>
      </w:pPr>
    </w:p>
    <w:p>
      <w:pPr>
        <w:jc w:val="both"/>
        <w:ind w:left="1140" w:hanging="646"/>
        <w:spacing w:after="0" w:line="266"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67" w:lineRule="exact"/>
        <w:rPr>
          <w:rFonts w:ascii="Times New Roman" w:cs="Times New Roman" w:eastAsia="Times New Roman" w:hAnsi="Times New Roman"/>
          <w:sz w:val="18"/>
          <w:szCs w:val="18"/>
          <w:color w:val="auto"/>
        </w:rPr>
      </w:pPr>
    </w:p>
    <w:p>
      <w:pPr>
        <w:jc w:val="both"/>
        <w:ind w:left="1140" w:hanging="646"/>
        <w:spacing w:after="0" w:line="266"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ind w:left="1140" w:hanging="646"/>
        <w:spacing w:after="0" w:line="261"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39"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in the intended therapeutic indication, particularly for long-term safety follow-up. These so-called Phase 4 studies may also be made a condition to approval of the NDA or BLA.</w:t>
      </w:r>
    </w:p>
    <w:p>
      <w:pPr>
        <w:spacing w:after="0" w:line="14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NDA or BLA Submission and Review by the FDA</w:t>
      </w:r>
    </w:p>
    <w:p>
      <w:pPr>
        <w:spacing w:after="0" w:line="187"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an NDA or BLA requesting approval to market the product for one or more indications. The NDA or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independent investigators. The submission of an NDA or BLA requires payment of a substantial application user fee to the FDA, unless a waiver or exemption applies.</w:t>
      </w:r>
    </w:p>
    <w:p>
      <w:pPr>
        <w:spacing w:after="0" w:line="162"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an NDA or BLA submitted to determine if it is substantially complete before the FDA accepts it for filing. The FDA may refuse to file any NDA or BLA that it deems incomplete or not properly reviewable at the time of submission and may request additional information. In this event, the NDA or BLA must be resubmitted with the additional information. Once an NDA or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an NDA or BLA to determine, among other things, whether a product is safe, pure and potent and the facility in which it is manufactured, processed, packed or held meets standards designed to assure the product’s continued safety, purity and potency. The FDA may also convene an advisory committee to provide clinical insight on application review questions. The FDA is not bound by the recommendations of an advisory committee, but it considers such recommendations carefully when making decisions.</w:t>
      </w:r>
    </w:p>
    <w:p>
      <w:pPr>
        <w:spacing w:after="0" w:line="14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Before approving an NDA or BLA,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w:t>
      </w:r>
    </w:p>
    <w:p>
      <w:pPr>
        <w:spacing w:after="0" w:line="135" w:lineRule="exact"/>
        <w:rPr>
          <w:sz w:val="20"/>
          <w:szCs w:val="20"/>
          <w:color w:val="auto"/>
        </w:rPr>
      </w:pPr>
    </w:p>
    <w:p>
      <w:pPr>
        <w:ind w:right="460" w:firstLine="405"/>
        <w:spacing w:after="0" w:line="261" w:lineRule="auto"/>
        <w:rPr>
          <w:sz w:val="20"/>
          <w:szCs w:val="20"/>
          <w:color w:val="auto"/>
        </w:rPr>
      </w:pPr>
      <w:r>
        <w:rPr>
          <w:rFonts w:ascii="Times New Roman" w:cs="Times New Roman" w:eastAsia="Times New Roman" w:hAnsi="Times New Roman"/>
          <w:sz w:val="18"/>
          <w:szCs w:val="18"/>
          <w:color w:val="auto"/>
        </w:rPr>
        <w:t>After the FDA evaluates an NDA or BLA and conducts inspections of manufacturing facilities where the investigational product and/or its drug substance will be produced, the FDA may issue an approval letter or a Complete Response Letter, or CRL. An approval letter authorizes commercial marketing of the product with specific prescribing information for specific indications. A CRL will describe all of the deficiencies that the FDA has identified in the NDA or BLA, except that where the FDA determines that the data supporting the application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1" w:name="page12"/>
    <w:bookmarkEnd w:id="11"/>
    <w:p>
      <w:pPr>
        <w:ind w:right="40"/>
        <w:spacing w:after="0" w:line="261" w:lineRule="auto"/>
        <w:rPr>
          <w:sz w:val="20"/>
          <w:szCs w:val="20"/>
          <w:color w:val="auto"/>
        </w:rPr>
      </w:pPr>
      <w:r>
        <w:rPr>
          <w:rFonts w:ascii="Times New Roman" w:cs="Times New Roman" w:eastAsia="Times New Roman" w:hAnsi="Times New Roman"/>
          <w:sz w:val="18"/>
          <w:szCs w:val="18"/>
          <w:color w:val="auto"/>
        </w:rPr>
        <w:t>inadequate to support approval, the FDA may issue the CRL without first conducting required inspections, testing submitted product lots, and/or reviewing proposed labeling. In issuing the CRL, the FDA may recommend actions that the applicant might take to place the NDA or BLA in condition for approval, including requests for additional information or clarification. The FDA may delay or refuse approval of an NDA or BLA if applicable regulatory criteria are not satisfied, require additional testing or information and/or require post-marketing testing and surveillance to monitor safety or efficacy of a product.</w:t>
      </w:r>
    </w:p>
    <w:p>
      <w:pPr>
        <w:spacing w:after="0" w:line="13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or BLA with a Risk Evaluation and Mitigation Strategy, or REMS, to ensure the benefits of the product outweigh its risks, or otherwise limit the scope of any approval. A REMS is a safety strategy implemented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187" w:lineRule="exact"/>
        <w:rPr>
          <w:sz w:val="20"/>
          <w:szCs w:val="20"/>
          <w:color w:val="auto"/>
        </w:rPr>
      </w:pPr>
    </w:p>
    <w:p>
      <w:pPr>
        <w:ind w:right="100" w:firstLine="405"/>
        <w:spacing w:after="0" w:line="269" w:lineRule="auto"/>
        <w:rPr>
          <w:sz w:val="20"/>
          <w:szCs w:val="20"/>
          <w:color w:val="auto"/>
        </w:rPr>
      </w:pPr>
      <w:r>
        <w:rPr>
          <w:rFonts w:ascii="Times New Roman" w:cs="Times New Roman" w:eastAsia="Times New Roman" w:hAnsi="Times New Roman"/>
          <w:sz w:val="17"/>
          <w:szCs w:val="17"/>
          <w:color w:val="auto"/>
        </w:rPr>
        <w:t>The FDA offers a number of expedited development and review programs for qualifying product candidates. For example, the Fast Track program is intended to expedite or facilitate the process for reviewing new products that are intended to treat a serious or life-threatening disease or condition and demonstrate the potential to address unmet medical needs for the disease or condition.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drug or biologic may request that the FDA designate the product candidate as a Fast Track product at any time during the clinical development of the product. The sponsor of a Fast Track product has opportunities for more frequent interactions with the applicable FDA review team during product development and, once an NDA or BLA is submitted, the product candidate may be eligible for priority review. A Fast Track product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or BLA and determines that the schedule is acceptable, and the sponsor pays any required user fees upon submission of the first section of the NDA or BLA.</w:t>
      </w:r>
    </w:p>
    <w:p>
      <w:pPr>
        <w:spacing w:after="0" w:line="14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60"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Any marketing application for a drug or biologic submitted to the FDA for approval, including a product candidate with a Fast Track designation and/or breakthrough therapy designation, may be eligible for other types of FDA programs intended to expedite development and review, such as priority review and accelerated approval. A product candidate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biological product designated for priority review in an effort to facilitate the review.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983615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2" w:name="page13"/>
    <w:bookmarkEnd w:id="12"/>
    <w:p>
      <w:pPr>
        <w:ind w:right="200"/>
        <w:spacing w:after="0" w:line="282" w:lineRule="auto"/>
        <w:rPr>
          <w:sz w:val="20"/>
          <w:szCs w:val="20"/>
          <w:color w:val="auto"/>
        </w:rPr>
      </w:pPr>
      <w:r>
        <w:rPr>
          <w:rFonts w:ascii="Times New Roman" w:cs="Times New Roman" w:eastAsia="Times New Roman" w:hAnsi="Times New Roman"/>
          <w:sz w:val="18"/>
          <w:szCs w:val="18"/>
          <w:color w:val="auto"/>
        </w:rPr>
        <w:t>original NDAs or BLAs, priority review designation means the FDA’s goal is to take action on the marketing application within six months of the 60-day filing date (as compared to ten months under standard review).</w:t>
      </w:r>
    </w:p>
    <w:p>
      <w:pPr>
        <w:spacing w:after="0" w:line="12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61"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87"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an NDA or BLA.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w:t>
      </w:r>
    </w:p>
    <w:p>
      <w:pPr>
        <w:spacing w:after="0" w:line="160"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a particular drug or biologic for the disease for which it has such designation, the product is entitled to orphan product exclusivity, which means that the FDA may not approve any other applications, including a full NDA or BLA, to market the same drug or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w:t>
      </w:r>
    </w:p>
    <w:p>
      <w:pPr>
        <w:spacing w:after="0" w:line="154"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ind w:left="42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87"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Drugs and biologics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and biologic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Changes to the manufacturing process or facility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6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Other potential consequences include, among other things:</w:t>
      </w:r>
    </w:p>
    <w:p>
      <w:pPr>
        <w:spacing w:after="0" w:line="143" w:lineRule="exact"/>
        <w:rPr>
          <w:sz w:val="20"/>
          <w:szCs w:val="20"/>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117" w:lineRule="exact"/>
        <w:rPr>
          <w:rFonts w:ascii="Times New Roman" w:cs="Times New Roman" w:eastAsia="Times New Roman" w:hAnsi="Times New Roman"/>
          <w:sz w:val="18"/>
          <w:szCs w:val="18"/>
          <w:color w:val="auto"/>
        </w:rPr>
      </w:pPr>
    </w:p>
    <w:p>
      <w:pPr>
        <w:ind w:left="1140" w:right="20" w:hanging="646"/>
        <w:spacing w:after="0" w:line="282"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1140" w:right="80" w:hanging="646"/>
        <w:spacing w:after="0" w:line="282"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8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drugs and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Physicians may prescribe legally available products for uses that are not described in the product’s labeling and that differ from those tested and approved by the FDA. Such off-label uses are common across medical specialties.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14" w:name="page15"/>
    <w:bookmarkEnd w:id="14"/>
    <w:p>
      <w:pPr>
        <w:spacing w:after="0" w:line="153"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Government Regulation Outside of the United States</w:t>
      </w:r>
    </w:p>
    <w:p>
      <w:pPr>
        <w:spacing w:after="0" w:line="187" w:lineRule="exact"/>
        <w:rPr>
          <w:sz w:val="20"/>
          <w:szCs w:val="20"/>
          <w:color w:val="auto"/>
        </w:rPr>
      </w:pPr>
    </w:p>
    <w:p>
      <w:pPr>
        <w:ind w:right="300" w:firstLine="405"/>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studies and any commercial sales and distribution of any products we may develop. Because biologically sourced raw materials are subject to unique contamination risks, their use may be restricted in some countries. 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w:t>
      </w:r>
    </w:p>
    <w:p>
      <w:pPr>
        <w:spacing w:after="0" w:line="147"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18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products for which we obtain marketing approval. Such laws include, without limitation, federal and state anti-kickback, fraud and abuse, false claims, data privacy and security and physician and other health care provider transparency laws and regulations. The laws that will affect our operations include, but are not limited to:</w:t>
      </w:r>
    </w:p>
    <w:p>
      <w:pPr>
        <w:spacing w:after="0" w:line="143" w:lineRule="exact"/>
        <w:rPr>
          <w:sz w:val="20"/>
          <w:szCs w:val="20"/>
          <w:color w:val="auto"/>
        </w:rPr>
      </w:pPr>
    </w:p>
    <w:p>
      <w:pPr>
        <w:ind w:left="1140" w:hanging="646"/>
        <w:spacing w:after="0" w:line="261"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offering, receiving or providing remuneration (including any kickback, bribe or rebate),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1" w:lineRule="exact"/>
        <w:rPr>
          <w:rFonts w:ascii="Times New Roman" w:cs="Times New Roman" w:eastAsia="Times New Roman" w:hAnsi="Times New Roman"/>
          <w:sz w:val="18"/>
          <w:szCs w:val="18"/>
          <w:color w:val="auto"/>
        </w:rPr>
      </w:pPr>
    </w:p>
    <w:p>
      <w:pPr>
        <w:ind w:left="1140" w:hanging="646"/>
        <w:spacing w:after="0" w:line="261"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including the federal False Claims Act, impose criminal or civil penalties, as applicable, against individuals or entities for knowingly presenting, or causing to be presented, to the federal government (including the Medicare and Medicaid programs) or other third-party payor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1140" w:hanging="646"/>
        <w:spacing w:after="0" w:line="256"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Portability and Accountability Act of 1996, or HIPAA, established the federal offense of health care fraud, which among other things, imposes criminal liability for knowingly and willfully executing, or attempting to execute, a scheme to defraud any healthcare benefit program or to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79" w:lineRule="exact"/>
        <w:rPr>
          <w:rFonts w:ascii="Times New Roman" w:cs="Times New Roman" w:eastAsia="Times New Roman" w:hAnsi="Times New Roman"/>
          <w:sz w:val="18"/>
          <w:szCs w:val="18"/>
          <w:color w:val="auto"/>
        </w:rPr>
      </w:pPr>
    </w:p>
    <w:p>
      <w:pPr>
        <w:ind w:left="1140" w:right="240" w:hanging="646"/>
        <w:spacing w:after="0" w:line="289" w:lineRule="auto"/>
        <w:tabs>
          <w:tab w:leader="none" w:pos="11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Health Information Technology for Economic and Clinical Health Act, or HITECH, and its implementing regulations, which imposes certain obligations, including mandatory contractual terms, with respect to safeguarding the privacy, security and transmission of individually identifiable health information without the appropriate authorization by entities subject to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ind w:left="1140" w:right="740"/>
        <w:spacing w:after="0" w:line="282" w:lineRule="auto"/>
        <w:rPr>
          <w:sz w:val="20"/>
          <w:szCs w:val="20"/>
          <w:color w:val="auto"/>
        </w:rPr>
      </w:pPr>
      <w:r>
        <w:rPr>
          <w:rFonts w:ascii="Times New Roman" w:cs="Times New Roman" w:eastAsia="Times New Roman" w:hAnsi="Times New Roman"/>
          <w:sz w:val="18"/>
          <w:szCs w:val="18"/>
          <w:color w:val="auto"/>
        </w:rPr>
        <w:t>such as health plans, healthcare clearinghouses and healthcare providers and their respective business associates and their covered subcontractors;</w:t>
      </w:r>
    </w:p>
    <w:p>
      <w:pPr>
        <w:spacing w:after="0" w:line="54" w:lineRule="exact"/>
        <w:rPr>
          <w:sz w:val="20"/>
          <w:szCs w:val="20"/>
          <w:color w:val="auto"/>
        </w:rPr>
      </w:pPr>
    </w:p>
    <w:p>
      <w:pPr>
        <w:ind w:left="1140" w:right="20" w:hanging="646"/>
        <w:spacing w:after="0" w:line="255"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the Physician Payments Sunshine Act and its implementing regulations, requires applicable group purchasing organizations and manufacturers of drugs, devices, biologics and medical supplies for which payment is available under Medicare, Medicaid or the Children’s Health Insurance Program (with certain exceptions) to report annually to the U.S. Department of Health and Human Services, or HHS, information related to “payments or other transfers of value” made in the previous year to covered recipients, including physicians (defined to include doctors, dentists, optometrists, podiatrists and chiropractors, other health care professionals (such as nurse practitioners and physician assistants) and teaching hospitals, and information regarding ownership and investment interests held by physicians (as defined above) or their immediate family members; and</w:t>
      </w:r>
    </w:p>
    <w:p>
      <w:pPr>
        <w:spacing w:after="0" w:line="80" w:lineRule="exact"/>
        <w:rPr>
          <w:rFonts w:ascii="Times New Roman" w:cs="Times New Roman" w:eastAsia="Times New Roman" w:hAnsi="Times New Roman"/>
          <w:sz w:val="18"/>
          <w:szCs w:val="18"/>
          <w:color w:val="auto"/>
        </w:rPr>
      </w:pPr>
    </w:p>
    <w:p>
      <w:pPr>
        <w:ind w:left="1140" w:hanging="646"/>
        <w:spacing w:after="0" w:line="254"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including: state anti-kickback and false claims laws that may apply to our business practices (including research, distribution, sales and marketing arrangements and claims involving healthcare items or services reimbursed by state governmental and non-governmental third-party payors, including private insurers); state and local laws that require certain regulatory licenses to manufacture or distribute pharmaceutical products commercially and/or the registration of pharmaceutical sales representatives; state laws that require pharmaceutical companies to comply with the pharmaceutical industry’s voluntary compliance guidelines and the applicable compliance guidance promulgated by the federal government; state laws that require drug manufacturers to track gifts and other remuneration and items of value provided to healthcare professionals and entities and file reports relating to pricing and marketing information; and state and foreign laws that govern the privacy and security of health information in specified circumstances, many of which differ from each other in significant ways and often are not preempted by HIPAA, thus complicating compliance efforts.</w:t>
      </w:r>
    </w:p>
    <w:p>
      <w:pPr>
        <w:spacing w:after="0" w:line="14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any available statutory exceptions and safe harbors, it is possible that some of our current and future business activities could be subject to challenge under one or more of such laws.</w:t>
      </w:r>
    </w:p>
    <w:p>
      <w:pPr>
        <w:spacing w:after="0" w:line="135"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If our significant operations are found to be in violation of any of such laws or any other governmental regulations that apply, they may be subject to significant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187"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coverage and reimbursement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For example, the U.S. Department of Health and Human Services, or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Adoption of price controls and cost-containment measures, and adoption of more restrictive policies in jurisdictions with existing controls and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ind w:right="100"/>
        <w:spacing w:after="0" w:line="282" w:lineRule="auto"/>
        <w:rPr>
          <w:sz w:val="20"/>
          <w:szCs w:val="20"/>
          <w:color w:val="auto"/>
        </w:rPr>
      </w:pPr>
      <w:r>
        <w:rPr>
          <w:rFonts w:ascii="Times New Roman" w:cs="Times New Roman" w:eastAsia="Times New Roman" w:hAnsi="Times New Roman"/>
          <w:sz w:val="18"/>
          <w:szCs w:val="18"/>
          <w:color w:val="auto"/>
        </w:rPr>
        <w:t>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200"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In the United States, in March 2010, the Patient Protection and Affordable Care Act, as amended by the Health Care and Education Reconciliation Act, each as amended, collectively known as the ACA, was enacted, which substantially changed the way healthcare is financed by both governmental and private insurers, and significantly affected the pharmaceutical industry.</w:t>
      </w:r>
    </w:p>
    <w:p>
      <w:pPr>
        <w:spacing w:after="0" w:line="135"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amendments to and judicial and congressional challenges to certain aspects of the ACA.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w:t>
      </w:r>
    </w:p>
    <w:p>
      <w:pPr>
        <w:ind w:right="100"/>
        <w:spacing w:after="0" w:line="266" w:lineRule="auto"/>
        <w:rPr>
          <w:sz w:val="20"/>
          <w:szCs w:val="20"/>
          <w:color w:val="auto"/>
        </w:rPr>
      </w:pPr>
      <w:r>
        <w:rPr>
          <w:rFonts w:ascii="Times New Roman" w:cs="Times New Roman" w:eastAsia="Times New Roman" w:hAnsi="Times New Roman"/>
          <w:sz w:val="18"/>
          <w:szCs w:val="18"/>
          <w:color w:val="auto"/>
        </w:rPr>
        <w:t>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spacing w:after="0" w:line="149" w:lineRule="exact"/>
        <w:rPr>
          <w:sz w:val="20"/>
          <w:szCs w:val="20"/>
          <w:color w:val="auto"/>
        </w:rPr>
      </w:pPr>
    </w:p>
    <w:p>
      <w:pPr>
        <w:jc w:val="both"/>
        <w:ind w:right="400" w:firstLine="405"/>
        <w:spacing w:after="0" w:line="282"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w:t>
      </w:r>
    </w:p>
    <w:p>
      <w:pPr>
        <w:spacing w:after="0" w:line="121"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or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or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or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154"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wholly owned subsidiary, Complex Therapeutics LLC, owns a facility in Tarzana, California that is leased to AstraZeneca Pharmaceuticals LP, or AstraZeneca. The facility consists of 128,097 square feet of clinical and commercial manufacturing space.</w:t>
      </w:r>
    </w:p>
    <w:p>
      <w:pPr>
        <w:spacing w:after="0" w:line="13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Our headquarters is located in Dallas, Texas and consists of 5,055 square feet of leased office space under a lease that expires in April 2026. We also lease 7,728 square feet of laboratory and office space in Alderley Park, United Kingdom, under three leases that expire in November 2026.</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believe that our current facilities are adequate for our current needs.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02" w:lineRule="exact"/>
        <w:rPr>
          <w:sz w:val="20"/>
          <w:szCs w:val="20"/>
          <w:color w:val="auto"/>
        </w:rPr>
      </w:pPr>
    </w:p>
    <w:p>
      <w:pPr>
        <w:jc w:val="both"/>
        <w:ind w:right="180" w:firstLine="404"/>
        <w:spacing w:after="0" w:line="282" w:lineRule="auto"/>
        <w:rPr>
          <w:sz w:val="20"/>
          <w:szCs w:val="20"/>
          <w:color w:val="auto"/>
        </w:rPr>
      </w:pPr>
      <w:r>
        <w:rPr>
          <w:rFonts w:ascii="Times New Roman" w:cs="Times New Roman" w:eastAsia="Times New Roman" w:hAnsi="Times New Roman"/>
          <w:sz w:val="18"/>
          <w:szCs w:val="18"/>
          <w:color w:val="auto"/>
        </w:rPr>
        <w:t>As of December 31, 2025, we had 17 employees, all of whom were full-time. None of our employees are represented by labor unions or covered by collective bargaining agreements.</w:t>
      </w:r>
    </w:p>
    <w:p>
      <w:pPr>
        <w:spacing w:after="0" w:line="121" w:lineRule="exact"/>
        <w:rPr>
          <w:sz w:val="20"/>
          <w:szCs w:val="20"/>
          <w:color w:val="auto"/>
        </w:rPr>
      </w:pPr>
    </w:p>
    <w:p>
      <w:pPr>
        <w:jc w:val="both"/>
        <w:ind w:right="180" w:firstLine="404"/>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02"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August of 2018. Our principal executive offices are located at 3963 Maple Avenue, Suite 350, Dallas, Texas 75219 and our telephone number is (972) 499-3350. Our website address is instilbio.com.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common stock. We have included our website in this prospectus solely as an inactive textual reference.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right="180" w:firstLine="441"/>
        <w:spacing w:after="0" w:line="258" w:lineRule="auto"/>
        <w:rPr>
          <w:sz w:val="20"/>
          <w:szCs w:val="20"/>
          <w:color w:val="auto"/>
        </w:rPr>
      </w:pPr>
      <w:r>
        <w:rPr>
          <w:rFonts w:ascii="Times New Roman" w:cs="Times New Roman" w:eastAsia="Times New Roman" w:hAnsi="Times New Roman"/>
          <w:sz w:val="18"/>
          <w:szCs w:val="18"/>
          <w:color w:val="auto"/>
        </w:rPr>
        <w:t>Annual Reports on Form 10-K, Quarterly Reports on Form 10-Q, Current Reports on Form 8-K, and amendments to reports filed or furnished pursuant to Sections 13(a) and 15(d) of the Securities Exchange Act of 1934, as amended, or the Exchange Act, will be made available free of charge on our website as soon as reasonably practicable after we electronically file such material with, or furnish it to, the Securities and Exchange Commission, or SEC. The contents of our website are not incorporated into this Annual Report and our reference to the URL for our website is intended to be an inactive textual reference only. The information contained on, or that can be accessed through, our website is not a part of this document.</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6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54" w:lineRule="exact"/>
        <w:rPr>
          <w:sz w:val="20"/>
          <w:szCs w:val="20"/>
          <w:color w:val="auto"/>
        </w:rPr>
      </w:pPr>
    </w:p>
    <w:p>
      <w:pPr>
        <w:ind w:right="20" w:firstLine="441"/>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information sets forth risk factors that could cause our actual results to differ materially from those contained in forward-looking statements we have made in this Annual Report on Form 10-K and those we may make from time to time. You should carefully consider the risks described below, in addition to the other information contained in this Annual Report on Form 10-K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972820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85" w:lineRule="exact"/>
        <w:rPr>
          <w:sz w:val="20"/>
          <w:szCs w:val="20"/>
          <w:color w:val="auto"/>
        </w:rPr>
      </w:pPr>
    </w:p>
    <w:p>
      <w:pPr>
        <w:ind w:left="44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have identified an indicator of substantial doubt about our ability to continue as a going concern. We expect to incur losses for the foreseeable future and may never achieve or maintain profitability.</w:t>
      </w:r>
    </w:p>
    <w:p>
      <w:pPr>
        <w:spacing w:after="0" w:line="132" w:lineRule="exact"/>
        <w:rPr>
          <w:sz w:val="20"/>
          <w:szCs w:val="20"/>
          <w:color w:val="auto"/>
        </w:rPr>
      </w:pPr>
    </w:p>
    <w:p>
      <w:pPr>
        <w:ind w:firstLine="405"/>
        <w:spacing w:after="0" w:line="274" w:lineRule="auto"/>
        <w:rPr>
          <w:sz w:val="20"/>
          <w:szCs w:val="20"/>
          <w:color w:val="auto"/>
        </w:rPr>
      </w:pPr>
      <w:r>
        <w:rPr>
          <w:rFonts w:ascii="Times New Roman" w:cs="Times New Roman" w:eastAsia="Times New Roman" w:hAnsi="Times New Roman"/>
          <w:sz w:val="17"/>
          <w:szCs w:val="17"/>
          <w:color w:val="auto"/>
        </w:rPr>
        <w:t>Since our inception, we have incurred significant net losses, and we expect to continue to incur significant expenses and operating losses for the foreseeable future. Our net losses were $71.4 million and $74.1 million for the years ended December 31, 2025 and 2024, respectively. As of December 31, 2025, we had an accumulated deficit of $726.5 million. We have financed our operations with funds raised in our initial public offering, private placements of convertible preferred stock, rental income, and offerings under our at-the-market offering program to date. We have no products approved for commercialization and have never generated any revenue from product sales. In connection with the preparation of our consolidated financial statements accompanying this Annual Report on Form 10-K, we identified an indicator of substantial doubt about our ability to continue as a going concern.</w:t>
      </w:r>
    </w:p>
    <w:p>
      <w:pPr>
        <w:spacing w:after="0" w:line="132"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over the next several years. We expect that it could be many years, if ever, before we have a commercialized product. Our net losses may fluctuate significantly from quarter to quarter and year to year. In addition to incurring legal, accounting and other expenses in operating as a public company and costs related to shutting down Axion Bio’s clinical trial of AXN-2510, we anticipate that our expenses will continue to be significant as we license or otherwise acquire new product candidates, as well as potentially initiate and complete clinical trials of new product candidates, seek regulatory approval for any product candidates that successfully complete clinical trials; scale up our clinical and regulatory capabilities; rely on third parties to manufacture current good manufacturing practices, or cGMP, material for clinical trials or potential commercial sales; establish a commercialization infrastructure and develop internal and external manufacturing and distribution capabilities to commercialize any product candidates for which we may obtain regulatory approval; adapt our regulatory compliance efforts to incorporate requirements applicable to marketed products; maintain, expand and protect the intellectual property portfolio for any product candidates we may seek to develop; hire clinical, manufacturing quality control, regulatory, manufacturing and scientific and administrative personnel; and add operational, financial and management information systems and personnel, including personnel to support our product development and planned future commercialization efforts.</w:t>
      </w:r>
    </w:p>
    <w:p>
      <w:pPr>
        <w:spacing w:after="0" w:line="151" w:lineRule="exact"/>
        <w:rPr>
          <w:sz w:val="20"/>
          <w:szCs w:val="20"/>
          <w:color w:val="auto"/>
        </w:rPr>
      </w:pPr>
    </w:p>
    <w:p>
      <w:pPr>
        <w:ind w:right="300" w:firstLine="405"/>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Before we can become and remain profitable, we must succeed in licensing or otherwise acquiring one or more product candidates and developing and eventually commercializing such product candidates. This will require us to be successful in a range of challenging activities, including successfully identifying and acquiring or in-licensing one or more new product candidates, completing preclinical testing and clinical trials of any such product candidates, and obtaining regulatory approval, and manufacturing, marketing and selling any product candidates for which we may obtain regulatory approval. We are only in the preliminary stages of identifying potential new product candidates to in-license or acquire or invest in. We may never succeed in any of these activities and, even if we do, may never generate any revenue or revenue that is significant enough to achieve profitability.</w:t>
      </w:r>
    </w:p>
    <w:p>
      <w:pPr>
        <w:spacing w:after="0" w:line="16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135" w:lineRule="exact"/>
        <w:rPr>
          <w:sz w:val="20"/>
          <w:szCs w:val="20"/>
          <w:color w:val="auto"/>
        </w:rPr>
      </w:pPr>
    </w:p>
    <w:p>
      <w:pPr>
        <w:ind w:left="44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completing any clinical trial or commercializing any product, which may make it difficult for an investor to evaluate the success of our business to date and to assess our future viability.</w:t>
      </w:r>
    </w:p>
    <w:p>
      <w:pPr>
        <w:spacing w:after="0" w:line="118"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We are a biotechnology company with a limited operating history. Since we commenced operations in 2019, we have not yet demonstrated our ability to successfully complete any clinical trials, obtain regulatory approvals, manufacture a product on a commercial scale, or arrange for a third party to do so on our behalf, or conduct sales and marketing activities necessary for successful commercialization. Consequently, any predictions you make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984885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9" w:name="page20"/>
    <w:bookmarkEnd w:id="19"/>
    <w:p>
      <w:pPr>
        <w:ind w:right="460"/>
        <w:spacing w:after="0" w:line="282" w:lineRule="auto"/>
        <w:rPr>
          <w:sz w:val="20"/>
          <w:szCs w:val="20"/>
          <w:color w:val="auto"/>
        </w:rPr>
      </w:pPr>
      <w:r>
        <w:rPr>
          <w:rFonts w:ascii="Times New Roman" w:cs="Times New Roman" w:eastAsia="Times New Roman" w:hAnsi="Times New Roman"/>
          <w:sz w:val="18"/>
          <w:szCs w:val="18"/>
          <w:color w:val="auto"/>
        </w:rPr>
        <w:t>our future success or viability may not be as accurate as they could be if we had a longer operating history or a history of successfully developing and commercializing products.</w:t>
      </w:r>
    </w:p>
    <w:p>
      <w:pPr>
        <w:spacing w:after="0" w:line="12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For example, several years ago we elected to discontinue our tumor infiltrating lymphocyte development program and our related ITIL-168 and ITIL-306 clinical trials. More recently, in January 2026 we discontinued development of AXN-2510. As part of discontinuing our prior development programs, we have significantly reduced our workforce in recent years. In the event we are successful in licensing or acquiring one or more new product candidates or we seek to develop new product candidates ourselves, we will need to develop clinical, manufacturing, regulatory and commercial capabilities, and we may not be successful in doing so.</w:t>
      </w:r>
    </w:p>
    <w:p>
      <w:pPr>
        <w:spacing w:after="0" w:line="156" w:lineRule="exact"/>
        <w:rPr>
          <w:sz w:val="20"/>
          <w:szCs w:val="20"/>
          <w:color w:val="auto"/>
        </w:rPr>
      </w:pPr>
    </w:p>
    <w:p>
      <w:pPr>
        <w:ind w:left="44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to meet our financial obligations and to pursue our business objectives. If we are unable to raise capital when needed, we could be forced to delay or curtail our planned operations and the pursuit of our strategy.</w:t>
      </w:r>
    </w:p>
    <w:p>
      <w:pPr>
        <w:spacing w:after="0" w:line="11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Identifying and licensing or otherwise acquiring promising new product candidates, and subsequently successfully developing any such product candidates is a time-consuming, expensive and uncertain process that takes years to complete, and we may be unsuccessful or never generate the necessary data or results required to obtain regulatory approval and achieve product sales. We expect to continue to incur significant expenses and operating losses over the next several years as we seek to in-license or otherwise acquire new product candidates, initiate clinical trials of any such product candidates ensure a manufacturing supply of any such product candidates and seek marketing approval for any product candidates that successfully complete clinical trials. In addition, any product candidates, if approved, may not achieve commercial success. Our revenue, if any, will be derived from sales of products that we do not expect to be commercially available for many years, if at all. If we obtain marketing approval for any product candidates that we seek to develop, we expect to incur significant commercialization expenses related to product sales, marketing, distribution and manufacturing. We also expect to continue to incur significant expenses associated with operating as a public company. Accordingly, we will need to obtain substantial additional funding in order to continue our operations.</w:t>
      </w:r>
    </w:p>
    <w:p>
      <w:pPr>
        <w:spacing w:after="0" w:line="15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As of December 31, 2025, we had cash, cash equivalents, restricted cash and marketable securities of $76.3 million, which consists of $6.6 million in cash and cash equivalents, $0.2 million of restricted cash and $69.5 million in marketable securities. We believe that our existing cash, cash equivalents and marketable securities will be sufficient to fund our operating expenses and capital requirements beyond 2027.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efforts to license or otherwise acquire of new product candidates, changes in development activities, and changes in regulation. Our future capital requirements will depend on many factors, including:</w:t>
      </w:r>
    </w:p>
    <w:p>
      <w:pPr>
        <w:spacing w:after="0" w:line="160" w:lineRule="exact"/>
        <w:rPr>
          <w:sz w:val="20"/>
          <w:szCs w:val="20"/>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license or otherwise acquire new product candidates and technologies and the cost of any such assets;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140" w:right="10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a potential sale of the Tarzana, California facility in an amount sufficient to repay the secured debt encumbering the facility;</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any product candidates we may seek to develop;</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 of human capital as we expand our capabilities;</w:t>
      </w:r>
    </w:p>
    <w:p>
      <w:pPr>
        <w:spacing w:after="0" w:line="117" w:lineRule="exact"/>
        <w:rPr>
          <w:rFonts w:ascii="Times New Roman" w:cs="Times New Roman" w:eastAsia="Times New Roman" w:hAnsi="Times New Roman"/>
          <w:sz w:val="18"/>
          <w:szCs w:val="18"/>
          <w:color w:val="auto"/>
        </w:rPr>
      </w:pPr>
    </w:p>
    <w:p>
      <w:pPr>
        <w:ind w:left="1140" w:right="36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product candidates for which we receive marketing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924560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ind w:left="1140" w:hanging="646"/>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product candidates for which we receive marketing approval;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8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will require substantial additional capital to achieve our business objectives. Additional funds may not be available on a timely basis, on favorable terms, or at all, and such funds, if raised, may not be sufficient to enable us to continue to implement our long-term business strategy. Further, our ability to raise additional capital may be adversely impacted by worsening global economic conditions and the disruptions to and volatility in the credit and financial markets in the United States and worldwide, including those resulting from armed conflicts, U.S.-China trade and political tensions, heightened inflation and fluctuations in interest rates, tariffs, recent and potential future bank failures and supply chain disruptions, among other geopolitical and macroeconomic factors. If we are unable to raise sufficient additional capital, we could be forced to delay acquiring and developing new product candidates or curtail our planned operations and the pursuit of our strategy.</w:t>
      </w:r>
    </w:p>
    <w:p>
      <w:pPr>
        <w:spacing w:after="0" w:line="158" w:lineRule="exact"/>
        <w:rPr>
          <w:sz w:val="20"/>
          <w:szCs w:val="20"/>
          <w:color w:val="auto"/>
        </w:rPr>
      </w:pPr>
    </w:p>
    <w:p>
      <w:pPr>
        <w:ind w:left="44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technologies or product candidates.</w:t>
      </w:r>
    </w:p>
    <w:p>
      <w:pPr>
        <w:spacing w:after="0" w:line="11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will need to raise substantial additional capital to support our operations and execute on our business strategy. Until such time, if ever, as we can generate substantial revenue, we may finance our cash needs through a combination of equity offerings, government or private party grants, debt financings or license and collaboration agreements.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For example, the agreements governing the term loan contains certain affirmative and negative covenants, including restrictions on incurring additional debt, maintaining a specified minimum net worth and amount of liquid assets, which could limit our operations.</w:t>
      </w:r>
    </w:p>
    <w:p>
      <w:pPr>
        <w:spacing w:after="0" w:line="151"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52" w:lineRule="exact"/>
        <w:rPr>
          <w:sz w:val="20"/>
          <w:szCs w:val="20"/>
          <w:color w:val="auto"/>
        </w:rPr>
      </w:pPr>
    </w:p>
    <w:p>
      <w:pPr>
        <w:ind w:left="44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Complex Therapeutics LLC is unable to meet the conditions to exercise its option to extend the maturity of its term loan and/or is unable to refinance its term loan or raise sufficient capital to repay its term loan at maturity, or otherwise fails to comply with the terms of the loan agreement, including financial covenants, it could result in an event of default.</w:t>
      </w:r>
    </w:p>
    <w:p>
      <w:pPr>
        <w:spacing w:after="0" w:line="13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term loan agreement between Complex Therapeutics LLC, our wholly owned subsidiary, and Midland National Life Insurance Company related to the refinancing of our construction loans secured by our Tarzana facility and land, or the term loan, is scheduled to reach maturity on January 10, 2027. Complex Therapeutics LLC has the option to extend the maturity date of the term loan by up to one year by giving notice to the lender between 120 and 30 days before the scheduled maturity date, subject to satisfaction of specified conditions, including the absence of any potential default or event of default, compliance with certain financial covenants, and payment of an extension fee and related lender costs. Although we currently expect Complex Therapeutics LLC to be able to satisfy these conditions, there can be no assurance that it will be able to do so at the time the extension option becomes exercisable. Any failure of Complex Therapeutics LLC to satisfy such conditions, or to otherwise refinance the term loan or sell the Tarzana facility for sufficient proceeds to repay the term loan at maturity, or any failure to comply with the loan covenants, could subject it to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1" w:name="page22"/>
    <w:bookmarkEnd w:id="21"/>
    <w:p>
      <w:pPr>
        <w:spacing w:after="0" w:line="153"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If Complex Therapeutics LLC is unable to obtain the extension or otherwise refinance the term loan, the full principal balance of the term loan would become due at its current maturity date in January 2027. Based on Complex Therapeutic LLC’s existing cash resources and projected lease income, we do not expect it to have sufficient cash on hand to repay the term loan in full at maturity without securing alternative financing or selling the Tarzana facility, neither of which may be available on acceptable terms or at all. If Complex Therapeutics LLC defaults under the loan agreement, the lender will be able to declare all obligations immediately due and payable and take control of its pledged assets, potentially requiring Complex Therapeutics LLC to renegotiate the loan agreement on terms less favorable or suffer worse outcomes. Although the Company has limited obligations related to the term loan and is not a primary obligor of the term loan, any declaration by the lender of an event of default could materially harm our prospects and cause the price of our common stock to decline. In addition, if, among other things, Complex Therapeutics LLC were to file a voluntary bankruptcy petition, an affiliate, officer, director or representative of us or Complex Therapeutics LLC were to file an involuntary bankruptcy petition against Complex Therapeutics LLC or acquiesce or join in an application for the appointment of a custodian, receiver, trustee or examiner for Complex Therapeutics LLC, or Complex Therapeutics LLC were to make an assignment for the benefit of creditors, we will be fully liable for Complex Therapeutics LLC’s obligations under the term loan, which could materially harm our financial position and prospects.</w:t>
      </w:r>
    </w:p>
    <w:p>
      <w:pPr>
        <w:spacing w:after="0" w:line="159" w:lineRule="exact"/>
        <w:rPr>
          <w:sz w:val="20"/>
          <w:szCs w:val="20"/>
          <w:color w:val="auto"/>
        </w:rPr>
      </w:pPr>
    </w:p>
    <w:p>
      <w:pPr>
        <w:ind w:left="440"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suffered, and in the future could suffer, additional losses due to impairment charges related to our Tarzana, California facility, and, in the event of a sale of such facility, the proceeds could be less than our carrying value or the amount of the secured debt encumbering the facility.</w:t>
      </w:r>
    </w:p>
    <w:p>
      <w:pPr>
        <w:spacing w:after="0" w:line="9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To date, we have recorded significant impairment losses on long-lived assets related to our Tarzana, California facility. Most recently, during the year ended December 31, 2025, we recorded aggregate impairment losses on long-lived assets held for sale of $16.6 million related to the Tarzana facility. We may suffer additional impairment losses related to the Tarzana facility. In addition, in the event the Tarzana facility is sold, we may not recover its carrying value, and we may suffer additional impairment losses. Further, it is possible that we will not be able to sell the facility for an amount equal to or greater than the amount of secured debt encumbering the facility.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Product Candidates</w:t>
      </w:r>
    </w:p>
    <w:p>
      <w:pPr>
        <w:spacing w:after="0" w:line="198" w:lineRule="exact"/>
        <w:rPr>
          <w:sz w:val="20"/>
          <w:szCs w:val="20"/>
          <w:color w:val="auto"/>
        </w:rPr>
      </w:pPr>
    </w:p>
    <w:p>
      <w:pPr>
        <w:ind w:left="44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product candidate in active development. We have, and we may in the future, engage in strategic transactions to license or otherwise acquire new product candidates or technologies, and we may not be successful in developing or commercializing any such product candidates.</w:t>
      </w:r>
    </w:p>
    <w:p>
      <w:pPr>
        <w:spacing w:after="0" w:line="134"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Currently we do not have any product candidate in active development. We do not have any products that are approved for commercial sale, and we may never be able to license or acquire, develop or commercialize any marketable products. We are seeking to engage in strategic transactions to in-license or acquire and develop therapeutic assets for diseases with significant unmet need. We may not be able to identify, in-license or otherwise acquire, and subsequently develop, new product candidates. The licensing or acquisition of third-party intellectual property rights is a competitive area, and more established or more attractive companies may pursue strategies to license or acquire third-party intellectual property rights or assets that we may consider attractive for further development. These companies may have a competitive advantage over us due to their size, capital resources and/or greater clinical development, manufacturing and commercialization capabilities. In addition, companies that perceive us to be a competitor may be unwilling to assign or license rights to us, and companies that do not perceive us to be a potential competitor may be reluctant to consider licensing to us given our lack of relevant meaningful experience. In addition, the process of identifying new product candidates and technologies that may be available to acquire or in-license and assessing their potential and value is difficult and time-consuming. Even if we identify suitable candidates to license or acquire, negotiating strategic transactions is time-consuming. We also may be unable to license or acquire third-party intellectual property rights on terms that would allow us to make an appropriate return on our investment or at all. Even if we are successful in in our efforts to license or acquire product candidates, the potential product candidates that we identify may not be suitable for clinical development. For example, product candidates may be shown to have harmful side effects or other characteristics that indicate that they are unlikely to be successfully developed, much less receive marketing approval and achieve market acceptance. We may not be successful in developing or commercializing any product candidate we may license or otherwise acquire and seek to develop. If we do not successfully develop and commercialize product candidates,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988695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ind w:right="20"/>
        <w:spacing w:after="0" w:line="282" w:lineRule="auto"/>
        <w:rPr>
          <w:sz w:val="20"/>
          <w:szCs w:val="20"/>
          <w:color w:val="auto"/>
        </w:rPr>
      </w:pPr>
      <w:r>
        <w:rPr>
          <w:rFonts w:ascii="Times New Roman" w:cs="Times New Roman" w:eastAsia="Times New Roman" w:hAnsi="Times New Roman"/>
          <w:sz w:val="18"/>
          <w:szCs w:val="18"/>
          <w:color w:val="auto"/>
        </w:rPr>
        <w:t>will not be able to obtain product revenue in future periods, which likely would result in significant harm to our financial position and adversely affect our stock price.</w:t>
      </w:r>
    </w:p>
    <w:p>
      <w:pPr>
        <w:spacing w:after="0" w:line="117" w:lineRule="exact"/>
        <w:rPr>
          <w:sz w:val="20"/>
          <w:szCs w:val="20"/>
          <w:color w:val="auto"/>
        </w:rPr>
      </w:pPr>
    </w:p>
    <w:p>
      <w:pPr>
        <w:ind w:left="44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receive regulatory approval for and commercialize product candidates for the indications we seek, or experience significant delays in doing so, our business will be harmed.</w:t>
      </w:r>
    </w:p>
    <w:p>
      <w:pPr>
        <w:spacing w:after="0" w:line="132"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We currently have no product candidate in active development or any products approved for commercial sale. As a company, we have no prior experience completing any clinical trials; we have limited experience in preparing, submitting and prosecuting regulatory filings and we have not previously submitted an NDA or BLA, for any product candidate. Any product candidate that we are able to in-license or otherwise acquire will likely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148"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Our ability to generate revenue from any product candidates which we may seek to develop, which we do not expect will occur for many years, if ever, will depend heavily on the successful development, regulatory approval and eventual commercialization of one or more product candidates. The success of any product candidates that we may seek to develop will depend on several factors, including:</w:t>
      </w:r>
    </w:p>
    <w:p>
      <w:pPr>
        <w:spacing w:after="0" w:line="135" w:lineRule="exact"/>
        <w:rPr>
          <w:sz w:val="20"/>
          <w:szCs w:val="20"/>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successfully licensing or otherwise acquiring promising product candidates;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and clinical trials;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INDs from the FDA or comparable foreign applications that allow commencement of clinical trials for such product candidates;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17" w:lineRule="exact"/>
        <w:rPr>
          <w:rFonts w:ascii="Times New Roman" w:cs="Times New Roman" w:eastAsia="Times New Roman" w:hAnsi="Times New Roman"/>
          <w:sz w:val="18"/>
          <w:szCs w:val="18"/>
          <w:color w:val="auto"/>
        </w:rPr>
      </w:pPr>
    </w:p>
    <w:p>
      <w:pPr>
        <w:ind w:left="1140" w:right="200" w:hanging="646"/>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including under the FDA’s current Good Clinical Practices, or GCPs, and current Good Laboratory Practices;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or making arrangements with third-party manufacturers for manufacturing product candidates;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timely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products, if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140" w:right="200" w:hanging="646"/>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our products, including method of administration, if approved, by patients, the medical community and third-party payors, for their approved indications;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with any product candidates;</w:t>
      </w:r>
    </w:p>
    <w:p>
      <w:pPr>
        <w:spacing w:after="0" w:line="117" w:lineRule="exact"/>
        <w:rPr>
          <w:rFonts w:ascii="Times New Roman" w:cs="Times New Roman" w:eastAsia="Times New Roman" w:hAnsi="Times New Roman"/>
          <w:sz w:val="18"/>
          <w:szCs w:val="18"/>
          <w:color w:val="auto"/>
        </w:rPr>
      </w:pPr>
    </w:p>
    <w:p>
      <w:pPr>
        <w:ind w:left="1140" w:right="160" w:hanging="646"/>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cost, safety and efficacy of alternative therapies for any product candidate, and any indications for such product candidate, that we may seek to develop;</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any product candidates we develop on a commercial scale;</w:t>
      </w:r>
    </w:p>
    <w:p>
      <w:pPr>
        <w:spacing w:after="0" w:line="117"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trademark and trade secret protection and regulatory exclusivity for any product candidates we may seek to develop and otherwise protecting our rights in our intellectual property portfolio;</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compliance with regulatory requirements, including cGMPs, and complying effectively with other procedures;</w:t>
      </w:r>
    </w:p>
    <w:p>
      <w:pPr>
        <w:spacing w:after="0" w:line="117" w:lineRule="exact"/>
        <w:rPr>
          <w:rFonts w:ascii="Times New Roman" w:cs="Times New Roman" w:eastAsia="Times New Roman" w:hAnsi="Times New Roman"/>
          <w:sz w:val="18"/>
          <w:szCs w:val="18"/>
          <w:color w:val="auto"/>
        </w:rPr>
      </w:pPr>
    </w:p>
    <w:p>
      <w:pPr>
        <w:ind w:left="1140" w:right="80" w:hanging="646"/>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 patients’ willingness to pay out-of-pocket in the absence of such coverage and adequate reimbursement;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924560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23" w:name="page24"/>
    <w:bookmarkEnd w:id="23"/>
    <w:p>
      <w:pPr>
        <w:ind w:left="1140" w:hanging="64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tolerability and efficacy profile of the products following approval.</w:t>
      </w:r>
    </w:p>
    <w:p>
      <w:pPr>
        <w:spacing w:after="0" w:line="18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any product candidates we may seek to develop, which would materially harm our business. If we do not receive marketing approvals for any product candidate we develop, we may not be able to continue our operations. At any time, we may decide to discontinue the development of, or not to commercialize, a product candidate, such as our past decision to discontinue our ITIL-168, ITIL-306 and AXN-2510 development programs. If we terminate a program in which we have invested significant resources, we will not receive any return on our investment and we will have missed the opportunity to allocate those resources to potentially more productive uses.</w:t>
      </w:r>
    </w:p>
    <w:p>
      <w:pPr>
        <w:spacing w:after="0" w:line="156" w:lineRule="exact"/>
        <w:rPr>
          <w:sz w:val="20"/>
          <w:szCs w:val="20"/>
          <w:color w:val="auto"/>
        </w:rPr>
      </w:pPr>
    </w:p>
    <w:p>
      <w:pPr>
        <w:ind w:left="44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difficult to design and implement and involve an uncertain outcome. Further, we may encounter substantial delays in completing the development of any product candidate we may seek to develop.</w:t>
      </w:r>
    </w:p>
    <w:p>
      <w:pPr>
        <w:spacing w:after="0" w:line="11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clinical trials and manufacturing of product candidates are, and the manufacturing and marketing of products, if approved, will be, subject to extensive and rigorous review and regulation by numerous government authorities in the United States and in other countries where we intend to test and market any product candidates. Before obtaining regulatory approvals for the commercial sale of any product candidates we may seek to develop, we must demonstrate through lengthy, complex and expensive preclinical testing and clinical trials that such product candidates are both safe and effective for use in each target indication. Each product candidate must demonstrate an adequate risk versus benefit profile in its intended patient population and for its intended use.</w:t>
      </w:r>
    </w:p>
    <w:p>
      <w:pPr>
        <w:spacing w:after="0" w:line="147"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Clinical trials are expensive and can take many years to complete, and their outcomes are inherently uncertain. We cannot guarantee that any clinical trials we or a collaborator may conduct of any product candidates we may seek to develop will be conducted as planned or completed on schedule, if at all. Failure can occur at any time during the clinical trial process. Even if clinical trials are completed as planned, we cannot be certain that their results will support the safety and effectiveness of any product candidates for their targeted indications or support continued clinical development of such product candidates. Our clinical trials may not be successful.</w:t>
      </w:r>
    </w:p>
    <w:p>
      <w:pPr>
        <w:spacing w:after="0" w:line="15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addition, even if we successfully complete clinical trials, we cannot guarantee that the FDA, MHRA, EMA or other comparable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MHRA, EMA or other comparable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47"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To date, we have not completed any clinical trials required for the approval of any product candidate. We may experience delays in conducting any clinical trials and we do not know whether our clinical trials we decide to conduct will begin on time, need to be redesigned, recruit and enroll patients on time or be completed on schedule, or at all. Clinical trials can be delayed, suspended or terminated for a variety of reasons, including in connection with:</w:t>
      </w:r>
    </w:p>
    <w:p>
      <w:pPr>
        <w:spacing w:after="0" w:line="135" w:lineRule="exact"/>
        <w:rPr>
          <w:sz w:val="20"/>
          <w:szCs w:val="20"/>
          <w:color w:val="auto"/>
        </w:rPr>
      </w:pPr>
    </w:p>
    <w:p>
      <w:pPr>
        <w:ind w:left="1140" w:hanging="646"/>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preclinical, toxicology, or other in vivo or in vitro data to support the initiation of clinical trials;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or controlling a manufacturing process suitable for advanced clinical trials;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suitable assays for screening patients for eligibility for trials with respect to certain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4" w:name="page25"/>
    <w:bookmarkEnd w:id="24"/>
    <w:p>
      <w:pPr>
        <w:ind w:left="1140" w:right="40" w:hanging="646"/>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FDA, MHRA, EMA or other regulatory authorities as to the design or implementation of our clinical trials;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 to commence a clinical trial;</w:t>
      </w:r>
    </w:p>
    <w:p>
      <w:pPr>
        <w:spacing w:after="0" w:line="117" w:lineRule="exact"/>
        <w:rPr>
          <w:rFonts w:ascii="Times New Roman" w:cs="Times New Roman" w:eastAsia="Times New Roman" w:hAnsi="Times New Roman"/>
          <w:sz w:val="18"/>
          <w:szCs w:val="18"/>
          <w:color w:val="auto"/>
        </w:rPr>
      </w:pPr>
    </w:p>
    <w:p>
      <w:pPr>
        <w:ind w:left="1140" w:right="320" w:hanging="646"/>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an agreement on acceptable terms with clinical trial sites or prospective contract research organizations, or CROs, the terms of which can be subject to extensive negotiation and may vary significantly among different clinical trial sites;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or IRB, approval at each trial site;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clinical trial sites or operations by applicable regulatory authorities, or the imposition of a clinical hold;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CROs or other third parties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140" w:right="120" w:hanging="646"/>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applicable regulatory requirements, including FDA’s GCP requirements, or applicable regulatory requirements in other countries;</w:t>
      </w:r>
    </w:p>
    <w:p>
      <w:pPr>
        <w:spacing w:after="0" w:line="53" w:lineRule="exact"/>
        <w:rPr>
          <w:rFonts w:ascii="Times New Roman" w:cs="Times New Roman" w:eastAsia="Times New Roman" w:hAnsi="Times New Roman"/>
          <w:sz w:val="18"/>
          <w:szCs w:val="18"/>
          <w:color w:val="auto"/>
        </w:rPr>
      </w:pPr>
    </w:p>
    <w:p>
      <w:pPr>
        <w:ind w:left="1140" w:right="60" w:hanging="646"/>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 including occurrence of adverse events associated with the product candidate that are viewed to outweigh its potential benefits;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product candidate for use in clinical trials; or</w:t>
      </w:r>
    </w:p>
    <w:p>
      <w:pPr>
        <w:spacing w:after="0" w:line="117" w:lineRule="exact"/>
        <w:rPr>
          <w:rFonts w:ascii="Times New Roman" w:cs="Times New Roman" w:eastAsia="Times New Roman" w:hAnsi="Times New Roman"/>
          <w:sz w:val="18"/>
          <w:szCs w:val="18"/>
          <w:color w:val="auto"/>
        </w:rPr>
      </w:pPr>
    </w:p>
    <w:p>
      <w:pPr>
        <w:ind w:left="1140" w:right="200" w:hanging="646"/>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suspensions or terminations by IRBs of the institutions at which such trials are being conducted, by the Data Safety Monitoring Board, or DSMB, for such trial or by the FDA or other regulatory authorities due to a number of factors, including those described above.</w:t>
      </w:r>
    </w:p>
    <w:p>
      <w:pPr>
        <w:spacing w:after="0" w:line="121"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any product candidates or significantly increase the cost of such trials, including:</w:t>
      </w:r>
    </w:p>
    <w:p>
      <w:pPr>
        <w:spacing w:after="0" w:line="135" w:lineRule="exact"/>
        <w:rPr>
          <w:sz w:val="20"/>
          <w:szCs w:val="20"/>
          <w:color w:val="auto"/>
        </w:rPr>
      </w:pPr>
    </w:p>
    <w:p>
      <w:pPr>
        <w:ind w:left="1140" w:right="420" w:hanging="646"/>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changes in regulatory requirements or guidance, or receive feedback from regulatory authorities that requires us to modify the design of our clinical trials;</w:t>
      </w:r>
    </w:p>
    <w:p>
      <w:pPr>
        <w:spacing w:after="0" w:line="53" w:lineRule="exact"/>
        <w:rPr>
          <w:rFonts w:ascii="Times New Roman" w:cs="Times New Roman" w:eastAsia="Times New Roman" w:hAnsi="Times New Roman"/>
          <w:sz w:val="18"/>
          <w:szCs w:val="18"/>
          <w:color w:val="auto"/>
        </w:rPr>
      </w:pPr>
    </w:p>
    <w:p>
      <w:pPr>
        <w:ind w:left="1140" w:right="140" w:hanging="646"/>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53" w:lineRule="exact"/>
        <w:rPr>
          <w:rFonts w:ascii="Times New Roman" w:cs="Times New Roman" w:eastAsia="Times New Roman" w:hAnsi="Times New Roman"/>
          <w:sz w:val="18"/>
          <w:szCs w:val="18"/>
          <w:color w:val="auto"/>
        </w:rPr>
      </w:pPr>
    </w:p>
    <w:p>
      <w:pPr>
        <w:ind w:left="1140" w:right="280" w:hanging="646"/>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and collaborators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140" w:right="420" w:hanging="646"/>
        <w:spacing w:after="0" w:line="266"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not have funds to cover the costs;</w:t>
      </w:r>
    </w:p>
    <w:p>
      <w:pPr>
        <w:spacing w:after="0" w:line="117" w:lineRule="exact"/>
        <w:rPr>
          <w:rFonts w:ascii="Times New Roman" w:cs="Times New Roman" w:eastAsia="Times New Roman" w:hAnsi="Times New Roman"/>
          <w:sz w:val="18"/>
          <w:szCs w:val="18"/>
          <w:color w:val="auto"/>
        </w:rPr>
      </w:pPr>
    </w:p>
    <w:p>
      <w:pPr>
        <w:ind w:left="1140" w:right="440" w:hanging="646"/>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924560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5" w:name="page26"/>
    <w:bookmarkEnd w:id="25"/>
    <w:p>
      <w:pPr>
        <w:ind w:left="1140" w:hanging="646"/>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spacing w:after="0" w:line="117" w:lineRule="exact"/>
        <w:rPr>
          <w:rFonts w:ascii="Times New Roman" w:cs="Times New Roman" w:eastAsia="Times New Roman" w:hAnsi="Times New Roman"/>
          <w:sz w:val="18"/>
          <w:szCs w:val="18"/>
          <w:color w:val="auto"/>
        </w:rPr>
      </w:pPr>
    </w:p>
    <w:p>
      <w:pPr>
        <w:ind w:left="1140" w:right="200" w:hanging="646"/>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conduct clinical trials in ways they view as advantageous to them but that are suboptimal for us.</w:t>
      </w:r>
    </w:p>
    <w:p>
      <w:pPr>
        <w:spacing w:after="0" w:line="121"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product candidates we may seek to develop beyond those that we plan for, if we are unable to successfully complete clinical trials of such product candidates or other testing, if the results of these trials or tests are not positive or are only modestly positive or if there are safety concerns, we may:</w:t>
      </w:r>
    </w:p>
    <w:p>
      <w:pPr>
        <w:spacing w:after="0" w:line="149" w:lineRule="exact"/>
        <w:rPr>
          <w:sz w:val="20"/>
          <w:szCs w:val="20"/>
          <w:color w:val="auto"/>
        </w:rPr>
      </w:pPr>
    </w:p>
    <w:p>
      <w:pPr>
        <w:ind w:left="1140" w:hanging="646"/>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or not obtain marketing approval at all;</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140" w:right="600" w:hanging="646"/>
        <w:spacing w:after="0" w:line="282"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safety warnings, including boxed warnings or Risk Evaluation and Mitigation Strategies, or REMS;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 or</w:t>
      </w:r>
    </w:p>
    <w:p>
      <w:pPr>
        <w:spacing w:after="0" w:line="117" w:lineRule="exact"/>
        <w:rPr>
          <w:rFonts w:ascii="Times New Roman" w:cs="Times New Roman" w:eastAsia="Times New Roman" w:hAnsi="Times New Roman"/>
          <w:sz w:val="18"/>
          <w:szCs w:val="18"/>
          <w:color w:val="auto"/>
        </w:rPr>
      </w:pPr>
    </w:p>
    <w:p>
      <w:pPr>
        <w:ind w:left="1140" w:right="480" w:hanging="646"/>
        <w:spacing w:after="0" w:line="282"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 after obtaining marketing approval.</w:t>
      </w:r>
    </w:p>
    <w:p>
      <w:pPr>
        <w:spacing w:after="0" w:line="121"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47"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Any product candidate we may seek to develop will require extensive clinical testing before we are prepared to submit an NDA, BLA or marketing authorization application, or MAA, for regulatory approval. We cannot predict with any certainty if or when we might complete the clinical development for any product candidates we may seek to develop and submit an NDA, BLA or MAA for regulatory approval of any such product candidates or whether any such NDA, BLA or MAA will be approved. We may also seek feedback from the FDA, or other regulatory authorities on our clinical development program, and such regulatory authorities may not provide such feedback on a timely basis, or such feedback may not be favorable, which could further delay our development programs.</w:t>
      </w:r>
    </w:p>
    <w:p>
      <w:pPr>
        <w:spacing w:after="0" w:line="16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cannot predict with any certainty whether or when we might complete a given clinical trial. If we experience delays in the commencement or completion of clinical trials for any product candidates we may seek to develop, or if we terminate a clinical trial prior to completion, the commercial prospects of any such product candidates could be harmed, and our ability to generate revenues from such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6" w:name="page27"/>
    <w:bookmarkEnd w:id="26"/>
    <w:p>
      <w:pPr>
        <w:spacing w:after="0" w:line="149" w:lineRule="exact"/>
        <w:rPr>
          <w:sz w:val="20"/>
          <w:szCs w:val="20"/>
          <w:color w:val="auto"/>
        </w:rPr>
      </w:pPr>
    </w:p>
    <w:p>
      <w:pPr>
        <w:ind w:left="44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MHRA, EMA and comparable foreign authorities are lengthy, time consuming and inherently unpredictable. If we are not able to obtain required regulatory approval for product candidates we may seek to develop, our business will be substantially harmed.</w:t>
      </w:r>
    </w:p>
    <w:p>
      <w:pPr>
        <w:spacing w:after="0" w:line="148"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The time required to obtain approval or other marketing authorizations by the FDA, MHRA, EMA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future collaborator is permitted to market any drug product candidates in the United States until we receive regulatory approval of an NDA or BLA from the FDA, and we cannot market them in the European Union until we receive approval for a MAA from the EMA, or in other foreign countries until we receive the required regulatory approval in such other countries.</w:t>
      </w:r>
    </w:p>
    <w:p>
      <w:pPr>
        <w:spacing w:after="0" w:line="15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Prior to obtaining approval to commercialize any drug product candidate in the United States or abroad, we must demonstrate with substantial evidence from well-controlled clinical trials, and to the satisfaction of the FDA, MHRA, EMA or other comparable foreign regulatory agencies,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MHRA, EMA or other regulatory agency may also require us to conduct additional preclinical studies or clinical trials for our product candidates either prior to or after approval, or it may object to elements of our clinical development programs.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Any product candidates we may seek to develop could fail to receive regulatory approval for many reasons, including the following:</w:t>
      </w:r>
    </w:p>
    <w:p>
      <w:pPr>
        <w:spacing w:after="0" w:line="198" w:lineRule="exact"/>
        <w:rPr>
          <w:sz w:val="20"/>
          <w:szCs w:val="20"/>
          <w:color w:val="auto"/>
        </w:rPr>
      </w:pPr>
    </w:p>
    <w:p>
      <w:pPr>
        <w:ind w:left="1140" w:right="260" w:hanging="646"/>
        <w:spacing w:after="0" w:line="282"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or any future collaborators' clinical trials;</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140" w:right="700" w:hanging="646"/>
        <w:spacing w:after="0" w:line="282"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140" w:right="840" w:hanging="646"/>
        <w:spacing w:after="0" w:line="282"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140" w:right="480" w:hanging="646"/>
        <w:spacing w:after="0" w:line="282"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authorities may significantly change in a manner rendering our clinical data insufficient for approval.</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our product candidates, which would significantly harm our business, financial condition, results of operations and prospects.</w:t>
      </w:r>
    </w:p>
    <w:p>
      <w:pPr>
        <w:spacing w:after="0" w:line="13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If we are successful in licensing or otherwise acquiring new product candidates, our business will be dependent on our ability to successfully complete preclinical and clinical development of, obtain regulatory approval for, and, if approved, successfully commercialize such product candidates in a timely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984885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an NDA or BLA or foreign marketing application for any product candidates, the FDA, MHRA, EMA or the applicable foreign regulatory agency may grant approval or other marketing authorization contingent on the performance of costly additional clinical trials, including post-marketing clinical trials. The FDA, MHRA, EMA or the applicable foreign regulatory agency also may approve or authorize for marketing a product candidate for a more limited indication or patient population than we originally request, and the FDA, MHRA, EMA or applicable foreign regulatory agency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spacing w:after="0" w:line="148" w:lineRule="exact"/>
        <w:rPr>
          <w:sz w:val="20"/>
          <w:szCs w:val="20"/>
          <w:color w:val="auto"/>
        </w:rPr>
      </w:pPr>
    </w:p>
    <w:p>
      <w:pPr>
        <w:ind w:right="480" w:firstLine="405"/>
        <w:spacing w:after="0" w:line="261" w:lineRule="auto"/>
        <w:rPr>
          <w:sz w:val="20"/>
          <w:szCs w:val="20"/>
          <w:color w:val="auto"/>
        </w:rPr>
      </w:pPr>
      <w:r>
        <w:rPr>
          <w:rFonts w:ascii="Times New Roman" w:cs="Times New Roman" w:eastAsia="Times New Roman" w:hAnsi="Times New Roman"/>
          <w:sz w:val="18"/>
          <w:szCs w:val="18"/>
          <w:color w:val="auto"/>
        </w:rPr>
        <w:t>In addition, the FDA, MHRA,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49" w:lineRule="exact"/>
        <w:rPr>
          <w:sz w:val="20"/>
          <w:szCs w:val="20"/>
          <w:color w:val="auto"/>
        </w:rPr>
      </w:pPr>
    </w:p>
    <w:p>
      <w:pPr>
        <w:ind w:left="44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earlier clinical trials may not be indicative of results in future clinical trials. Any product candidates we may seek to develop may not have favorable results in later clinical trials, if any, or receive regulatory approval.</w:t>
      </w:r>
    </w:p>
    <w:p>
      <w:pPr>
        <w:spacing w:after="0" w:line="118"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Success in preclinical testing and early stage clinical trials, including testing and trials conducted by us or any future collaborator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any product candidates we may seek to develop, which could delay or frustrate our ability to proceed into clinical trials or obtain marketing approval. Product candidates we may seek to develop may fail to show the desired safety and efficacy in clinical development despite having progressed through preclinical studies and initial clinical trials.</w:t>
      </w:r>
    </w:p>
    <w:p>
      <w:pPr>
        <w:spacing w:after="0" w:line="15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product candidate development. Any such delays could negatively impact our business, financial condition, results of operations and prospects.</w:t>
      </w:r>
    </w:p>
    <w:p>
      <w:pPr>
        <w:spacing w:after="0" w:line="152" w:lineRule="exact"/>
        <w:rPr>
          <w:sz w:val="20"/>
          <w:szCs w:val="20"/>
          <w:color w:val="auto"/>
        </w:rPr>
      </w:pPr>
    </w:p>
    <w:p>
      <w:pPr>
        <w:ind w:left="44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results from clinical trials that we may announce or publish from time to time may change as more data become available and are subject to audit and verification procedures that could result in material changes in the final data.</w:t>
      </w:r>
    </w:p>
    <w:p>
      <w:pPr>
        <w:spacing w:after="0" w:line="11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If we are successful in licensing or otherwise acquiring new product candidates, from time to time we may publish interim, top-line or preliminary results from our clinical trials. Interim results from clinical trials that we may announce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previously published. As a result, interim and preliminary data should be viewed with caution until the final data are available. Differences between preliminary, top-line or interim data and final data could significantly harm our business prospects and may cause the trading price of our common stock to fluctuate significantly. We also make assumptions, estimations, calculations and conclusions as part of our analyses of data, and we and they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product candidates may be materially harmed, which could significantly harm our business prospects.</w:t>
      </w:r>
    </w:p>
    <w:p>
      <w:pPr>
        <w:spacing w:after="0" w:line="144" w:lineRule="exact"/>
        <w:rPr>
          <w:sz w:val="20"/>
          <w:szCs w:val="20"/>
          <w:color w:val="auto"/>
        </w:rPr>
      </w:pPr>
    </w:p>
    <w:p>
      <w:pPr>
        <w:ind w:left="44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preclinical studies and clinical trials of product candidates we may seek to develop may fail to demonstrate substantial evidence of the safety and efficacy of such product candidates, or serious adverse or unacceptable side effects may be identified during the development of such product candidates, which could prevent, delay or limit the scope of regulatory approval of such product candidates, limit their commercialization, increase our costs or necessitate the abandonment or limitation of the development of some or all of such product candidates.</w:t>
      </w:r>
    </w:p>
    <w:p>
      <w:pPr>
        <w:spacing w:after="0" w:line="153"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8"/>
          <w:szCs w:val="18"/>
          <w:color w:val="auto"/>
        </w:rPr>
        <w:t>To obtain the requisite regulatory approvals for the commercial sale of any product candidate we may seek to develop, we must demonstrate through lengthy, complex and expensive preclinical testing and clinical trials that such product candidates are safe, pure and potent for use in each target indication. These trials are expensive and time consuming, and their outcomes are inherently uncertain. Failures can occur at any time during the development process. Preclinical studies and clinical trials often fail to demonstrate safety or efficacy of the product candidate studied for the target indication, and most product candidates that begin clinical trials are never approved.</w:t>
      </w:r>
    </w:p>
    <w:p>
      <w:pPr>
        <w:spacing w:after="0" w:line="143"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We may fail to demonstrate with substantial evidence from adequate and well-controlled trials, and to the satisfaction of the FDA or comparable foreign regulatory authorities, that product candidates we may seek to develop are safe and potent for their intended uses.</w:t>
      </w:r>
    </w:p>
    <w:p>
      <w:pPr>
        <w:spacing w:after="0" w:line="12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If any product candidates we may seek to develop are associated with undesirable side effects in preclinical studies or clinical trials or have characteristics that are unexpected, we may decide or be required to perform additional preclinical studies or to halt or delay further clinical development of such product candidates or to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w:t>
      </w:r>
    </w:p>
    <w:p>
      <w:pPr>
        <w:spacing w:after="0" w:line="156"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If any such undesirable side effects or unexpected characteristics are observed, our clinical trials could be suspended or terminated. If we cannot demonstrate that any adverse events observed in clinical trials were not caused by the product candidate, the FDA, MHRA, EMA or comparable foreign regulatory authorities or an IRB may also require that we suspend, discontinue, or limit our clinical trials based on safety information, or that we conduct additional animal or human studies regarding the safety and efficacy of such product candidates which we have not planned or anticipated. Such findings could further result in regulatory authorities failing to provide marketing authorization for such product candidates or limiting the scope of the approved indication, if approved.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such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5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Additionally, if one or more of the product candidates we may seek to develop receives marketing approval, and we or others identify undesirable side effects caused by such products, a number of potentially significant negative consequences could result,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ind w:left="1140" w:right="800" w:hanging="646"/>
        <w:spacing w:after="0" w:line="282"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withdraw or limit approvals of such product, or seek an injunction against its manufacture or distribution;</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17" w:lineRule="exact"/>
        <w:rPr>
          <w:rFonts w:ascii="Times New Roman" w:cs="Times New Roman" w:eastAsia="Times New Roman" w:hAnsi="Times New Roman"/>
          <w:sz w:val="18"/>
          <w:szCs w:val="18"/>
          <w:color w:val="auto"/>
        </w:rPr>
      </w:pPr>
    </w:p>
    <w:p>
      <w:pPr>
        <w:ind w:left="1140" w:right="300" w:hanging="646"/>
        <w:spacing w:after="0" w:line="282"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other requirements subject to a REMS;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 or conduct additional trials;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the product from the market;</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third-party payor coverage and adequate reimbursement;</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185"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adverse events to the satisfaction of the FDA or comparable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145" w:lineRule="exact"/>
        <w:rPr>
          <w:sz w:val="20"/>
          <w:szCs w:val="20"/>
          <w:color w:val="auto"/>
        </w:rPr>
      </w:pPr>
    </w:p>
    <w:p>
      <w:pPr>
        <w:ind w:left="44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we do not have experience completing clinical trials and may be unable to complete clinical trials for any product candidates we may develop.</w:t>
      </w:r>
    </w:p>
    <w:p>
      <w:pPr>
        <w:spacing w:after="0" w:line="118"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We are early in our efforts to potentially license or otherwise acquire in new product candidates and will need to, among other things, successfully complete clinical trials, including pivotal clinical trials, in order to obtain FDA, MHRA, EMA or comparable foreign regulatory authorities’ approval to market any such product candidates. Carrying out clinical trials and the submission of a successful NDA, BLA or MAA is a complicated process. We have no experience completing any clinical trial, have limited experience in preparing regulatory submissions and have not previously submitted an NDA, BLA or MAA for any product candidate. Consequently, we may be unable to successfully and efficiently execute and complete necessary clinical trials in a way that leads to submission of the applicable regulatory applications and approval of any product candidate. We may require more time and incur greater costs than our potential competitors and may not succeed in obtaining regulatory approvals of any product candidate that we seek to develop. Failure to commence or complete, or delays in, clinical trials could prevent us from or delay us in commercializing any product candidate.</w:t>
      </w:r>
    </w:p>
    <w:p>
      <w:pPr>
        <w:spacing w:after="0" w:line="147" w:lineRule="exact"/>
        <w:rPr>
          <w:sz w:val="20"/>
          <w:szCs w:val="20"/>
          <w:color w:val="auto"/>
        </w:rPr>
      </w:pPr>
    </w:p>
    <w:p>
      <w:pPr>
        <w:ind w:left="44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or difficulties in the enrollment and/or retention of patients in clinical trials, which could delay or prevent our receipt of necessary regulatory approvals.</w:t>
      </w:r>
    </w:p>
    <w:p>
      <w:pPr>
        <w:spacing w:after="0" w:line="13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eligible for our clinical trials with competitors which may have ongoing clinical trials for product candidates that are under development to treat the same indications as one or more of the product candidates we may seek to develop, or approved products for the conditions for which we may seek to develop product candidates.</w:t>
      </w:r>
    </w:p>
    <w:p>
      <w:pPr>
        <w:spacing w:after="0" w:line="143"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or comparable foreign regulatory authorities. We cannot predict how successful we will be at enrolling subjects in future clinical trials. Subject enrollment is affected by other factors including:</w:t>
      </w:r>
    </w:p>
    <w:p>
      <w:pPr>
        <w:spacing w:after="0" w:line="139" w:lineRule="exact"/>
        <w:rPr>
          <w:sz w:val="20"/>
          <w:szCs w:val="20"/>
          <w:color w:val="auto"/>
        </w:rPr>
      </w:pPr>
    </w:p>
    <w:p>
      <w:pPr>
        <w:ind w:left="1140" w:hanging="646"/>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and difficulty of diagnosing the disease under investigation;</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 in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0" w:name="page31"/>
    <w:bookmarkEnd w:id="30"/>
    <w:p>
      <w:pPr>
        <w:ind w:left="1140" w:hanging="646"/>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 protocol;</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 the trial;</w:t>
      </w:r>
    </w:p>
    <w:p>
      <w:pPr>
        <w:spacing w:after="0" w:line="117" w:lineRule="exact"/>
        <w:rPr>
          <w:rFonts w:ascii="Times New Roman" w:cs="Times New Roman" w:eastAsia="Times New Roman" w:hAnsi="Times New Roman"/>
          <w:sz w:val="18"/>
          <w:szCs w:val="18"/>
          <w:color w:val="auto"/>
        </w:rPr>
      </w:pPr>
    </w:p>
    <w:p>
      <w:pPr>
        <w:ind w:left="1140" w:right="120" w:hanging="646"/>
        <w:spacing w:after="0" w:line="282" w:lineRule="auto"/>
        <w:tabs>
          <w:tab w:leader="none" w:pos="1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therapeutic candidates’ clinical trials for the disease or condition under investigation;</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be enrolled in our clinical trials;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140" w:right="160" w:hanging="646"/>
        <w:spacing w:after="0" w:line="266" w:lineRule="auto"/>
        <w:tabs>
          <w:tab w:leader="none" w:pos="1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caused by disease outbreaks, epidemics and pandemics, including difficulties in initiating clinical sites, enrolling and retaining participants, diversion of healthcare resources away from clinical trials, travel or quarantine policies that may be implemented, and other factors;</w:t>
      </w:r>
    </w:p>
    <w:p>
      <w:pPr>
        <w:spacing w:after="0" w:line="6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6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any clinical trials that we conduct and we will have limited influence over their performance.</w:t>
      </w:r>
    </w:p>
    <w:p>
      <w:pPr>
        <w:spacing w:after="0" w:line="153"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Furthermore, even if we are able to enroll a sufficient number of patients for any clinical trials which we may conduct, we may have difficulty maintaining enrollment of such patients in our clinical trials.</w:t>
      </w:r>
    </w:p>
    <w:p>
      <w:pPr>
        <w:spacing w:after="0" w:line="117" w:lineRule="exact"/>
        <w:rPr>
          <w:sz w:val="20"/>
          <w:szCs w:val="20"/>
          <w:color w:val="auto"/>
        </w:rPr>
      </w:pPr>
    </w:p>
    <w:p>
      <w:pPr>
        <w:ind w:left="44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pursue other more promising product candidates or indications that may be more profitable or for which there is a greater likelihood of success.</w:t>
      </w:r>
    </w:p>
    <w:p>
      <w:pPr>
        <w:spacing w:after="0" w:line="11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licensing, acquiring or investing in potential product candidates that we identify for specific indications within a certain price range. As a result, we may forego or delay pursuing opportunities with other product candidates or for other indications that later prove to have greater commercial potential. Our resource allocation decisions may cause us to fail to capitalize on viable products or profitable market opportunities. Any spending on future development programs and product candidates for specific indications may not yield any commercially viable products. For example, in the second half of 2024 and throughout 2025, our strategy prioritized development of AXN-2510, which we discontinued in January 2026, and prior to that our strategy prioritized development of TIL cell therapy products. Further,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57" w:lineRule="exact"/>
        <w:rPr>
          <w:sz w:val="20"/>
          <w:szCs w:val="20"/>
          <w:color w:val="auto"/>
        </w:rPr>
      </w:pPr>
    </w:p>
    <w:p>
      <w:pPr>
        <w:ind w:left="44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plans and projected goals in the timeframes we announce, the trading price of our common stock may be negatively impacted.</w:t>
      </w:r>
    </w:p>
    <w:p>
      <w:pPr>
        <w:spacing w:after="0" w:line="11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From time to time, we may estimate the timing of the accomplishment of various business development, scientific, clinical, regulatory or other goals, which we sometimes refer to as milestones. These milestones may include the commencement or completion of, or availability of data from, preclinical studies and clinical trials and the submission of regulatory filings, or business development activities. From time to time, we may publicly announce the expected timing of some of these milestones. All of these milestones are, and will be, based 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978535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ind w:right="40"/>
        <w:spacing w:after="0" w:line="261" w:lineRule="auto"/>
        <w:rPr>
          <w:sz w:val="20"/>
          <w:szCs w:val="20"/>
          <w:color w:val="auto"/>
        </w:rPr>
      </w:pPr>
      <w:r>
        <w:rPr>
          <w:rFonts w:ascii="Times New Roman" w:cs="Times New Roman" w:eastAsia="Times New Roman" w:hAnsi="Times New Roman"/>
          <w:sz w:val="18"/>
          <w:szCs w:val="18"/>
          <w:color w:val="auto"/>
        </w:rPr>
        <w:t>variety of assumptions. The actual timing of these milestones can vary significantly compared to our estimates, in some cases for reasons beyond our control. We may experience numerous unforeseen events that could delay or prevent our ability to achieve our goals and meet any projected milestones. In addition, failure to meet projected milestones may negatively impact the trading price of our common stock and our ability to raise additional capital on attractive terms or at all.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Product Candidates</w:t>
      </w:r>
    </w:p>
    <w:p>
      <w:pPr>
        <w:spacing w:after="0" w:line="198" w:lineRule="exact"/>
        <w:rPr>
          <w:sz w:val="20"/>
          <w:szCs w:val="20"/>
          <w:color w:val="auto"/>
        </w:rPr>
      </w:pPr>
    </w:p>
    <w:p>
      <w:pPr>
        <w:ind w:left="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Therapeutic product candidates can be complex and difficult to manufacture. We intend to rely on third parties to produce clinical supply of any product candidate we may seek to develop and commercial supplies of any approved product. This reliance on third parties increases the risk that we will not have sufficient quantities of product candidates or any approved products or such quantities at an acceptable cost or quality, which could delay, prevent or impair our development or commercialization efforts.</w:t>
      </w:r>
    </w:p>
    <w:p>
      <w:pPr>
        <w:spacing w:after="0" w:line="140"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expect to rely on third parties to manufacture and to perform quality testing for any product candidate we may license or otherwise acquire and seek to develop. Reliance on third parties exposes us to risks associated with having minimal control over manufacturing activities, and any disruptions to the operations of our third-party manufacturers, including those caused by conditions unrelated to our business or operations such as bankruptcy of the manufacturer, could materially and adversely affect our business.</w:t>
      </w:r>
    </w:p>
    <w:p>
      <w:pPr>
        <w:spacing w:after="0" w:line="139"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We do not operate manufacturing facilities for the production of clinical or commercial supplies of any product candidates and currently have no supply agreements for the production of any product candidates. We have no personnel with expertise in manufacturing product candidates and lack the resources and the capabilities to manufacture product candidates on any scale, including clinical or commercial scale. We currently plan to rely on third parties for supply of product candidates we may license or otherwise acquire and seek to develop and for commercial supply if any of such product candidates are approved for sale.</w:t>
      </w:r>
    </w:p>
    <w:p>
      <w:pPr>
        <w:spacing w:after="0" w:line="156"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If we seek to develop any product candidate, we will need to secure supply agreements with third-party manufacturers for development, validation and manufacturing of such products candidates. We may be unable to secure agreements for clinical or commercial supply with third-party manufacturers, or may be unable to do so on acceptable terms. The third-party manufacturers may not successfully carry out their contractual duties or obligations, the occurrence of which could substantially increase our costs and limit our supply of such product candidates. The demand for third-party manufacturer’s services is very high, and such manufacturers could be subject to market transactions including mergers, acquisitions and other market consolidation transactions that limit their ability to provide products and services to us thereby increasing the time and cost it could take us to manufacture our product candidates or any approved products.</w:t>
      </w:r>
    </w:p>
    <w:p>
      <w:pPr>
        <w:spacing w:after="0" w:line="148"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Even if we are able to establish and maintain arrangements with third-party manufacturers, reliance on third-party manufacturers, entails additional risks, including:</w:t>
      </w:r>
    </w:p>
    <w:p>
      <w:pPr>
        <w:spacing w:after="0" w:line="121" w:lineRule="exact"/>
        <w:rPr>
          <w:sz w:val="20"/>
          <w:szCs w:val="20"/>
          <w:color w:val="auto"/>
        </w:rPr>
      </w:pPr>
    </w:p>
    <w:p>
      <w:pPr>
        <w:ind w:left="1140" w:hanging="646"/>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diversion of manufacturing capacity to other customers by the third party;</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Third-party manufacturers, may not be able to comply with current cGMP regulations or similar regulatory requirements outside the United States.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984885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products, operating restrictions and criminal prosecutions, any of which could significantly and adversely affect supplies of our product candidates.</w:t>
      </w:r>
    </w:p>
    <w:p>
      <w:pPr>
        <w:spacing w:after="0" w:line="18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Any product candidates and products that we may develop may compete with other product candidates and products for access to manufacturing facilities. There are a limited number of manufacturers that operate under cGMP regulations and that might be capable of manufacturing for us. In addition, in order to conduct late-stage clinical trials of any product candidates we may seek to develop, we will need to have them manufactured in large quantities. Third-party manufacturers that we engage, may be unable to successfully increase the manufacturing capacity for any of our product candidates in a timely or cost-effective manner, or at all.</w:t>
      </w:r>
    </w:p>
    <w:p>
      <w:pPr>
        <w:spacing w:after="0" w:line="156"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Moreover, if third-party manufacturers that we engage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3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If the third parties that we engage to manufacture product for any preclinical tests and/or clinical trials that we may seek to conduct should cease to continue to do so for any reason, we likely would experience delays in advancing these clinical trials while we identify and qualify replacement suppliers, and we may be unable to obtain replacement supplies on terms that are favorable to us. In addition, if we are not able to obtain adequate supplies of product candidates we may seek to develop or the drug substances used to manufacture them, it will be more difficult for us to develop such product candidates and compete effectively.</w:t>
      </w:r>
    </w:p>
    <w:p>
      <w:pPr>
        <w:spacing w:after="0" w:line="139" w:lineRule="exact"/>
        <w:rPr>
          <w:sz w:val="20"/>
          <w:szCs w:val="20"/>
          <w:color w:val="auto"/>
        </w:rPr>
      </w:pPr>
    </w:p>
    <w:p>
      <w:pPr>
        <w:ind w:left="44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manufacturers for any product candidate we seek to develop divert their capacity and/or supply of materials needed for such product candidates, our ability to complete clinical trials or eventually bring product candidates to market may be compromised.</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expect to rely on third party manufacturers for any product candidates we may develop.</w:t>
      </w:r>
    </w:p>
    <w:p>
      <w:pPr>
        <w:spacing w:after="0" w:line="18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Our expected reliance on third party manufacturers will expose us to the risk that such manufacturers may divert their capacity and/or supply of materials needed for any product candidates we may seek to develop, compromising our ability to complete clinical trials or commercialize such product candidates. Large pharmaceutical companies with greater resources, either through acquisitions, market consolidation or otherwise, may be able to obtain privileged access to manufacturing capacity and/or supply of material needed for the manufacture of such product candidates. If our competitors are able to use their resources to secure preferential access to the supply capacity of third party manufacturers, or if third party manufacturers elect to terminate their contracts with us in favor of exclusive contracts with other larger pharmaceutical companies, our ability to obtain a supply of any product candidates we may seek to develop may be impacted resulting in significant delays and higher costs for development and commercialization of such product candidates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0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product candidates we seek to develop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In addition, we may be required to make significant changes to our upstream and downstream processes across our pipeline, which could delay the development of our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986155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Product Candidates</w:t>
      </w:r>
    </w:p>
    <w:p>
      <w:pPr>
        <w:spacing w:after="0" w:line="185" w:lineRule="exact"/>
        <w:rPr>
          <w:sz w:val="20"/>
          <w:szCs w:val="20"/>
          <w:color w:val="auto"/>
        </w:rPr>
      </w:pPr>
    </w:p>
    <w:p>
      <w:pPr>
        <w:ind w:left="44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product candidates we may seek to develop receive marketing approval, they may fail to achieve the degree of market acceptance by physicians, patients, third-party payors and others in the medical community necessary for commercial success.</w:t>
      </w:r>
    </w:p>
    <w:p>
      <w:pPr>
        <w:spacing w:after="0" w:line="13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If any product candidates we may seek to develop receive marketing approval, they may nonetheless fail to gain sufficient market acceptance by physicians, patients, third-party payors and others in the medical community. If such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139" w:lineRule="exact"/>
        <w:rPr>
          <w:sz w:val="20"/>
          <w:szCs w:val="20"/>
          <w:color w:val="auto"/>
        </w:rPr>
      </w:pPr>
    </w:p>
    <w:p>
      <w:pPr>
        <w:ind w:left="1140" w:hanging="646"/>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140" w:right="260" w:hanging="646"/>
        <w:spacing w:after="0" w:line="282" w:lineRule="auto"/>
        <w:tabs>
          <w:tab w:leader="none" w:pos="11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MHRA, EMA or other comparable foreign regulatory authorities, including any limitations or warnings contained in a product’s approved labeling, including any black box warning or REMS;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treatments and of physicians to prescribe these treatments;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our product candidates, once approved;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181" w:lineRule="exact"/>
        <w:rPr>
          <w:sz w:val="20"/>
          <w:szCs w:val="20"/>
          <w:color w:val="auto"/>
        </w:rPr>
      </w:pPr>
    </w:p>
    <w:p>
      <w:pPr>
        <w:ind w:left="44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for any product candidate that may receive regulatory approval, we may not be successful in commercializing those product candidates if and when they are approved.</w:t>
      </w:r>
    </w:p>
    <w:p>
      <w:pPr>
        <w:spacing w:after="0" w:line="132"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We do not have sales or marketing infrastructure. To achieve commercial success for any product candidate for which we may obtain marketing approval, we will need to establish a sales and marketing organization. In the future, we may seek to build a focused sales and marketing infrastructure to market product candidates in the United States, if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Factors that may inhibit our efforts to market our products on our own include:</w:t>
      </w:r>
    </w:p>
    <w:p>
      <w:pPr>
        <w:spacing w:after="0" w:line="185" w:lineRule="exact"/>
        <w:rPr>
          <w:sz w:val="20"/>
          <w:szCs w:val="20"/>
          <w:color w:val="auto"/>
        </w:rPr>
      </w:pPr>
    </w:p>
    <w:p>
      <w:pPr>
        <w:ind w:left="1140" w:hanging="646"/>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our product candidates, once approved;</w:t>
      </w:r>
    </w:p>
    <w:p>
      <w:pPr>
        <w:spacing w:after="0" w:line="117" w:lineRule="exact"/>
        <w:rPr>
          <w:rFonts w:ascii="Times New Roman" w:cs="Times New Roman" w:eastAsia="Times New Roman" w:hAnsi="Times New Roman"/>
          <w:sz w:val="18"/>
          <w:szCs w:val="18"/>
          <w:color w:val="auto"/>
        </w:rPr>
      </w:pPr>
    </w:p>
    <w:p>
      <w:pPr>
        <w:ind w:left="1140" w:right="20" w:hanging="646"/>
        <w:spacing w:after="0" w:line="282" w:lineRule="auto"/>
        <w:tabs>
          <w:tab w:leader="none" w:pos="1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924560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4" w:name="page35"/>
    <w:bookmarkEnd w:id="34"/>
    <w:p>
      <w:pPr>
        <w:ind w:left="1140" w:hanging="646"/>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85"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56" w:lineRule="exact"/>
        <w:rPr>
          <w:sz w:val="20"/>
          <w:szCs w:val="20"/>
          <w:color w:val="auto"/>
        </w:rPr>
      </w:pPr>
    </w:p>
    <w:p>
      <w:pPr>
        <w:ind w:left="44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treatable populations for any product candidates we may seek to develop may be smaller than we or third parties currently project, which may affect the addressable markets for such product candidates.</w:t>
      </w:r>
    </w:p>
    <w:p>
      <w:pPr>
        <w:spacing w:after="0" w:line="118"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Any projections of the number of people who have the diseases we may seek to treat, as well as the subset of people with these diseases who have the potential to benefit from treatment with product candidates we may seek to develop, will be estimates based on our knowledge and understanding of these diseases. These estimates may prove to be incorrect and new studies may report lower incidence or prevalence estimates of these diseases. The number of patients in the United States, the European Union and elsewhere may turn out to be lower than expected, may not be otherwise amenable to treatment with our product candidates or patients may become increasingly difficult to identify and access, all of which would adversely affect our business, financial condition, results of operations and prospects. Further, even if we obtain approval for any product candidates we seek to develop, the FDA or other regulators may limit their approved indications to more narrow uses or subpopulations within the populations for which we are targeting development of our product candidates.</w:t>
      </w:r>
    </w:p>
    <w:p>
      <w:pPr>
        <w:spacing w:after="0" w:line="151" w:lineRule="exact"/>
        <w:rPr>
          <w:sz w:val="20"/>
          <w:szCs w:val="20"/>
          <w:color w:val="auto"/>
        </w:rPr>
      </w:pPr>
    </w:p>
    <w:p>
      <w:pPr>
        <w:ind w:firstLine="405"/>
        <w:spacing w:after="0" w:line="272" w:lineRule="auto"/>
        <w:rPr>
          <w:sz w:val="20"/>
          <w:szCs w:val="20"/>
          <w:color w:val="auto"/>
        </w:rPr>
      </w:pPr>
      <w:r>
        <w:rPr>
          <w:rFonts w:ascii="Times New Roman" w:cs="Times New Roman" w:eastAsia="Times New Roman" w:hAnsi="Times New Roman"/>
          <w:sz w:val="17"/>
          <w:szCs w:val="17"/>
          <w:color w:val="auto"/>
        </w:rPr>
        <w:t>The total addressable market opportunity for any product candidates we may seek to develop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any incidence and prevalence estimates included in our filings with the Securities and Exchange Commission, or the SEC, or otherwise should be viewed with caution. Further, the data and statistical information used in our filings with the SEC and other presentations, including estimates derived from them, may differ from information and estimates made by our competitors or from current or future studies conducted by independent sources.</w:t>
      </w:r>
    </w:p>
    <w:p>
      <w:pPr>
        <w:spacing w:after="0" w:line="141" w:lineRule="exact"/>
        <w:rPr>
          <w:sz w:val="20"/>
          <w:szCs w:val="20"/>
          <w:color w:val="auto"/>
        </w:rPr>
      </w:pPr>
    </w:p>
    <w:p>
      <w:pPr>
        <w:jc w:val="both"/>
        <w:ind w:left="4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any products we may seek to develop may harm our reputation in the marketplace, result in injuries that lead to costly product liability suits, and/or subject us to penalties if we fail to comply with regulatory requirements or experience unanticipated problems with any product.</w:t>
      </w:r>
    </w:p>
    <w:p>
      <w:pPr>
        <w:spacing w:after="0" w:line="13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If any product candidates that we may seek to develop are approved by the FDA, we may only promote or market our product candidates for their specifically approved indications. We will train our marketing and sales force against promoting our product candidates for uses outside of the approved indications for use, known as “off-label uses.” We cannot, however, prevent a physician from using our products off-label, when in the physician’s independent professional medical judgment he or she deems it appropriate. Furthermore, the use of our products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products for these uses for which they are not approved, which could lead to product liability suits that that might require significant financial and management resources and that could harm our reputation.</w:t>
      </w:r>
    </w:p>
    <w:p>
      <w:pPr>
        <w:spacing w:after="0" w:line="151"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U.S. Federal Trade Commission, the Department of Justice, or the DOJ, the Office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ind w:right="20"/>
        <w:spacing w:after="0" w:line="256" w:lineRule="auto"/>
        <w:rPr>
          <w:sz w:val="20"/>
          <w:szCs w:val="20"/>
          <w:color w:val="auto"/>
        </w:rPr>
      </w:pPr>
      <w:r>
        <w:rPr>
          <w:rFonts w:ascii="Times New Roman" w:cs="Times New Roman" w:eastAsia="Times New Roman" w:hAnsi="Times New Roman"/>
          <w:sz w:val="18"/>
          <w:szCs w:val="18"/>
          <w:color w:val="auto"/>
        </w:rPr>
        <w:t>Inspector General of the U.S. Department of Health and Human Services, or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143" w:lineRule="exact"/>
        <w:rPr>
          <w:sz w:val="20"/>
          <w:szCs w:val="20"/>
          <w:color w:val="auto"/>
        </w:rPr>
      </w:pPr>
    </w:p>
    <w:p>
      <w:pPr>
        <w:ind w:left="4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potential competition from other biotechnology and pharmaceutical companies, and from non-profit institutions, which may result in others identifying, discovering, developing or commercializing products before or more successfully than we do.</w:t>
      </w:r>
    </w:p>
    <w:p>
      <w:pPr>
        <w:spacing w:after="0" w:line="13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Drug development is highly competitive and subject to rapid and significant technological advancements. There are many large and small pharmaceutical companies focused on identifying, developing and delivering therapeutics in indications we might target. Further, it is likely that additional drugs will become available in the future for the treatment of any indications we may seek to target.</w:t>
      </w:r>
    </w:p>
    <w:p>
      <w:pPr>
        <w:spacing w:after="0" w:line="135"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Universities and public and private research institutions in the United States and Europe are also potential competitors. While these universities and public and private research institutions primarily have educational objectives, they may develop proprietary technologies that lead to FDA-approved therapies or secure patent protection that could compete with or we may need for the development of future technologies and product candidates.</w:t>
      </w:r>
    </w:p>
    <w:p>
      <w:pPr>
        <w:spacing w:after="0" w:line="13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Many of our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Our potential future competitors may also have significantly more experience commercializing drugs. Mergers and acquisitions in the pharmaceutical and biotechnology industries could result in even more resources being concentrated among a small number of our potential competitors.</w:t>
      </w:r>
    </w:p>
    <w:p>
      <w:pPr>
        <w:spacing w:after="0" w:line="153"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will face competition from other drugs or from other non-drug products currently approved or that will be approved in the future, including for the treatment of diseases and disorders in the therapeutic categories we may seek to target. Therefore, our ability to compete successfully will depend largely on our ability to:</w:t>
      </w:r>
    </w:p>
    <w:p>
      <w:pPr>
        <w:spacing w:after="0" w:line="135" w:lineRule="exact"/>
        <w:rPr>
          <w:sz w:val="20"/>
          <w:szCs w:val="20"/>
          <w:color w:val="auto"/>
        </w:rPr>
      </w:pPr>
    </w:p>
    <w:p>
      <w:pPr>
        <w:ind w:left="1140" w:hanging="646"/>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drugs that are superior to other products in the market;</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through clinical trials that product candidates that we may seek to develop are differentiated from existing and future therapies;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product development and commercial personnel;</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or other proprietary protection for our medicines;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and negotiate competitive pricing with, third-party payors; and</w:t>
      </w:r>
    </w:p>
    <w:p>
      <w:pPr>
        <w:spacing w:after="0" w:line="117" w:lineRule="exact"/>
        <w:rPr>
          <w:rFonts w:ascii="Times New Roman" w:cs="Times New Roman" w:eastAsia="Times New Roman" w:hAnsi="Times New Roman"/>
          <w:sz w:val="18"/>
          <w:szCs w:val="18"/>
          <w:color w:val="auto"/>
        </w:rPr>
      </w:pPr>
    </w:p>
    <w:p>
      <w:pPr>
        <w:ind w:left="1140" w:right="40" w:hanging="646"/>
        <w:spacing w:after="0" w:line="282"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collaborate with pharmaceutical companies and/or non-profit institutions in the discovery, development and commercialization of new medicines.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availability of competitors’ products could limit the demand, and the price we are able to charge, for any product candidate we seek to develop.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inability to compete with existing or subsequently introduced drugs would have an adverse impact on our business, financial condition and prospects.</w:t>
      </w:r>
    </w:p>
    <w:p>
      <w:pPr>
        <w:spacing w:after="0" w:line="180"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Established pharmaceutical companies may invest heavily to accelerate discovery and development of novel compounds or to in-license novel compounds that could make any product candidates we seek to develop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ind w:right="260"/>
        <w:spacing w:after="0" w:line="261" w:lineRule="auto"/>
        <w:rPr>
          <w:sz w:val="20"/>
          <w:szCs w:val="20"/>
          <w:color w:val="auto"/>
        </w:rPr>
      </w:pPr>
      <w:r>
        <w:rPr>
          <w:rFonts w:ascii="Times New Roman" w:cs="Times New Roman" w:eastAsia="Times New Roman" w:hAnsi="Times New Roman"/>
          <w:sz w:val="18"/>
          <w:szCs w:val="18"/>
          <w:color w:val="auto"/>
        </w:rPr>
        <w:t>competitive. In addition, any new product that competes with an approved product must demonstrate compelling advantages in efficacy, convenience, tolerability and safety in order to overcome price competition and to be commercially successful. Accordingly, our potential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135" w:lineRule="exact"/>
        <w:rPr>
          <w:sz w:val="20"/>
          <w:szCs w:val="20"/>
          <w:color w:val="auto"/>
        </w:rPr>
      </w:pPr>
    </w:p>
    <w:p>
      <w:pPr>
        <w:ind w:left="46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any product candidates we seek to develop will depend significantly on coverage and adequate reimbursement or the willingness of patients to pay for these therapies.</w:t>
      </w:r>
    </w:p>
    <w:p>
      <w:pPr>
        <w:spacing w:after="0" w:line="132"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We believe our success depends on obtaining and maintaining coverage and adequate reimbursement for the product candidates we may seek to develop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TRICARE), managed care providers, private health insurers, health maintenance organizations, and other organizations is essential for most patients to be able to afford medical services and pharmaceutical products.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HHS. CMS decides whether and to what extent products will be covered and reimbursed under Medicare and private payors tend to follow CMS to a substantial degree.</w:t>
      </w:r>
    </w:p>
    <w:p>
      <w:pPr>
        <w:spacing w:after="0" w:line="14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35" w:lineRule="exact"/>
        <w:rPr>
          <w:sz w:val="20"/>
          <w:szCs w:val="20"/>
          <w:color w:val="auto"/>
        </w:rPr>
      </w:pPr>
    </w:p>
    <w:p>
      <w:pPr>
        <w:ind w:firstLine="405"/>
        <w:spacing w:after="0" w:line="236" w:lineRule="auto"/>
        <w:rPr>
          <w:sz w:val="20"/>
          <w:szCs w:val="20"/>
          <w:color w:val="auto"/>
        </w:rPr>
      </w:pPr>
      <w:r>
        <w:rPr>
          <w:rFonts w:ascii="Times New Roman" w:cs="Times New Roman" w:eastAsia="Times New Roman" w:hAnsi="Times New Roman"/>
          <w:sz w:val="18"/>
          <w:szCs w:val="18"/>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In addition, the U.S. government, state legislatures and foreign governments have continued implementing cost-containment programs, including price controls, restrictions on coverage and reimbursement and requirements for substitution of generic products. For example, the U.S. Department of Health and Human Services, or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Additionally, we may also need to provide discounts to purchasers, private health plans or government healthcare programs. Our product candidates may nonetheless not be considered medically necessary or cost-effective.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1000760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 Further, coverage policies and third-party payor reimbursement rates may change at any time. Therefore, even if favorable coverage and reimbursement status is attained for one or more of our product candidates, if approved, less favorable coverage policies and reimbursement rates may be implemented in the future.</w:t>
      </w:r>
    </w:p>
    <w:p>
      <w:pPr>
        <w:spacing w:after="0" w:line="148"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14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There can be no assurance that any product candidates we seek to develop,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135" w:lineRule="exact"/>
        <w:rPr>
          <w:sz w:val="20"/>
          <w:szCs w:val="20"/>
          <w:color w:val="auto"/>
        </w:rPr>
      </w:pPr>
    </w:p>
    <w:p>
      <w:pPr>
        <w:ind w:left="4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18"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any product candidates we may seek to develop in human clinical trials and will face an even greater risk if we commercially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149" w:lineRule="exact"/>
        <w:rPr>
          <w:sz w:val="20"/>
          <w:szCs w:val="20"/>
          <w:color w:val="auto"/>
        </w:rPr>
      </w:pPr>
    </w:p>
    <w:p>
      <w:pPr>
        <w:ind w:left="1140" w:hanging="646"/>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drugs that we may develop;</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trial participants or patients;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8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could incur. We may need to increase our insurance coverage depending on the clinical development plans of any product candidates we may seek to develop or if we commence commercialization of any such product candidates. Insurance coverage is increasingly expensive. We may not be able to maintain insurance coverage at a reasonable cost or in an amount adequate to satisfy any liability that may arise.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98" w:lineRule="exact"/>
        <w:rPr>
          <w:sz w:val="20"/>
          <w:szCs w:val="20"/>
          <w:color w:val="auto"/>
        </w:rPr>
      </w:pPr>
    </w:p>
    <w:p>
      <w:pPr>
        <w:ind w:left="44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 parties to conduct, supervise and monitor a significant portion of our research and preclinical testing and clinical trials for any product candidates we may seek to develop,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979170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ind w:firstLine="405"/>
        <w:spacing w:after="0" w:line="255" w:lineRule="auto"/>
        <w:rPr>
          <w:sz w:val="20"/>
          <w:szCs w:val="20"/>
          <w:color w:val="auto"/>
        </w:rPr>
      </w:pPr>
      <w:r>
        <w:rPr>
          <w:rFonts w:ascii="Times New Roman" w:cs="Times New Roman" w:eastAsia="Times New Roman" w:hAnsi="Times New Roman"/>
          <w:sz w:val="18"/>
          <w:szCs w:val="18"/>
          <w:color w:val="auto"/>
        </w:rPr>
        <w:t>We do not have a pre-clinical research or clinical operations team and intend to engage CROs and other third parties to conduct any preclinical studies and clinical trials and to monitor and manage data for any product candidates we may seek to develop. We intend to rely on third parties, including clinical data management organizations, medical institutions and clinical investigators, to conduct any clinical trials we may conduct. We may not be able to timely enter into arrangements with third parties or to do so on commercially reasonable terms, if at all. Though we intend to carefully manage our relationships with any CROs we engage, there can be no assurance that we will not encounter challenges or delays in the future or that these delays or challenges will not have a material adverse impact on our business, financial condition and prospects. Further, the performance of our CROs and other third parties conducting any trials we may conduct may also be interrupted by public health emergencies.</w:t>
      </w:r>
    </w:p>
    <w:p>
      <w:pPr>
        <w:spacing w:after="0" w:line="148"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In addition, any third parties conducting future clinical trials on our behalf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any product candidates. Consequently, our results of operations and the commercial prospects for our product candidates would be harmed, our costs could increase substantially and our ability to generate revenue could be delayed significantly.</w:t>
      </w:r>
    </w:p>
    <w:p>
      <w:pPr>
        <w:spacing w:after="0" w:line="162"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We intend to rely on these parties for execution of any preclinical studies and clinical trials, and generally will not control their activities. Our reliance on these third parties for research and development activities will reduce our control over these activities but will not relieve us of our responsibilities. For example, we will remain responsible for ensuring that each clinical trial we conduct is conducted in accordance with the general investigational plan and protocols for the trial. Moreover, the FDA requires us to comply with standards, commonly referred to as good clinical practices, or GCPs, for conducting, recording and reporting the results of clinical trials we conduct to assure that data and reported results are credible and accurate and that the rights, integrity and confidentiality of trial participants are protected. If we or any of our CROs or other third parties, including trial sites, fail to comply with applicable GCPs, the clinical data generated in our clinical trials may be deemed unreliable and the FDA, MHRA, EMA or comparable foreign regulatory authorities may require us to perform additional clinical trials before approving our marketing applications. We cannot assure you that upon inspection by a given regulatory authority, such regulatory authority will determine that any clinical trial we may conduct will comply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151"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potential competitors. If these third parties do not successfully carry out their contractual duties or meet expected deadlines, we may be delayed in obtaining regulatory approvals for any product candidates we may seek to develop and may be delayed in our efforts to successfully commercialize such product candidates for targeted diseases.</w:t>
      </w:r>
    </w:p>
    <w:p>
      <w:pPr>
        <w:spacing w:after="0" w:line="135" w:lineRule="exact"/>
        <w:rPr>
          <w:sz w:val="20"/>
          <w:szCs w:val="20"/>
          <w:color w:val="auto"/>
        </w:rPr>
      </w:pPr>
    </w:p>
    <w:p>
      <w:pPr>
        <w:ind w:right="460" w:firstLine="405"/>
        <w:spacing w:after="0" w:line="312" w:lineRule="auto"/>
        <w:rPr>
          <w:sz w:val="20"/>
          <w:szCs w:val="20"/>
          <w:color w:val="auto"/>
        </w:rPr>
      </w:pPr>
      <w:r>
        <w:rPr>
          <w:rFonts w:ascii="Times New Roman" w:cs="Times New Roman" w:eastAsia="Times New Roman" w:hAnsi="Times New Roman"/>
          <w:sz w:val="17"/>
          <w:szCs w:val="17"/>
          <w:color w:val="auto"/>
        </w:rPr>
        <w:t>We also are required to register certain ongoing clinical trials and post the results of certain completed clinical trials on a government-sponsored database, ClinicalTrials.gov, within specified timeframes. Failure to do so can result in fines, adverse publicity and civil and criminal sanctions.</w:t>
      </w:r>
    </w:p>
    <w:p>
      <w:pPr>
        <w:spacing w:after="0" w:line="113"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our product candidates.</w:t>
      </w:r>
    </w:p>
    <w:p>
      <w:pPr>
        <w:spacing w:after="0" w:line="147"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product supplies for our clinical trials. Any performance failure on the part of our distributors could delay clinical development or marketing approval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product candidates or commercialization of our products, producing additional losses and depriving us of potential revenue.</w:t>
      </w:r>
    </w:p>
    <w:p>
      <w:pPr>
        <w:spacing w:after="0" w:line="181" w:lineRule="exact"/>
        <w:rPr>
          <w:sz w:val="20"/>
          <w:szCs w:val="20"/>
          <w:color w:val="auto"/>
        </w:rPr>
      </w:pPr>
    </w:p>
    <w:p>
      <w:pPr>
        <w:ind w:left="44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collaborations with third parties for the development or commercialization of any product candidates we may seek to develop. If those collaborations are not successful, we may not be able to capitalize on the market potential of these product candidates.</w:t>
      </w:r>
    </w:p>
    <w:p>
      <w:pPr>
        <w:spacing w:after="0" w:line="132"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may seek third-party collaborators for the development and commercialization of any product candidates we may seek to develop.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Collaborations involving our product candidates would pose the following risks to us:</w:t>
      </w:r>
    </w:p>
    <w:p>
      <w:pPr>
        <w:spacing w:after="0" w:line="185" w:lineRule="exact"/>
        <w:rPr>
          <w:sz w:val="20"/>
          <w:szCs w:val="20"/>
          <w:color w:val="auto"/>
        </w:rPr>
      </w:pPr>
    </w:p>
    <w:p>
      <w:pPr>
        <w:ind w:left="1140" w:hanging="646"/>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jc w:val="both"/>
        <w:ind w:left="1140" w:right="80" w:hanging="646"/>
        <w:spacing w:after="0" w:line="266" w:lineRule="auto"/>
        <w:tabs>
          <w:tab w:leader="none" w:pos="1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1140" w:right="300" w:hanging="646"/>
        <w:spacing w:after="0" w:line="282" w:lineRule="auto"/>
        <w:tabs>
          <w:tab w:leader="none" w:pos="1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140" w:right="300" w:hanging="646"/>
        <w:spacing w:after="0" w:line="266" w:lineRule="auto"/>
        <w:tabs>
          <w:tab w:leader="none" w:pos="1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1140" w:right="520" w:hanging="646"/>
        <w:spacing w:after="0" w:line="312" w:lineRule="auto"/>
        <w:tabs>
          <w:tab w:leader="none" w:pos="113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31" w:lineRule="exact"/>
        <w:rPr>
          <w:rFonts w:ascii="Times New Roman" w:cs="Times New Roman" w:eastAsia="Times New Roman" w:hAnsi="Times New Roman"/>
          <w:sz w:val="17"/>
          <w:szCs w:val="17"/>
          <w:color w:val="auto"/>
        </w:rPr>
      </w:pPr>
    </w:p>
    <w:p>
      <w:pPr>
        <w:ind w:left="1140" w:right="300" w:hanging="646"/>
        <w:spacing w:after="0" w:line="282" w:lineRule="auto"/>
        <w:tabs>
          <w:tab w:leader="none" w:pos="1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53" w:lineRule="exact"/>
        <w:rPr>
          <w:rFonts w:ascii="Times New Roman" w:cs="Times New Roman" w:eastAsia="Times New Roman" w:hAnsi="Times New Roman"/>
          <w:sz w:val="18"/>
          <w:szCs w:val="18"/>
          <w:color w:val="auto"/>
        </w:rPr>
      </w:pPr>
    </w:p>
    <w:p>
      <w:pPr>
        <w:ind w:left="1140" w:right="40" w:hanging="646"/>
        <w:spacing w:after="0" w:line="261" w:lineRule="auto"/>
        <w:tabs>
          <w:tab w:leader="none" w:pos="1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1140" w:hanging="646"/>
        <w:spacing w:after="0" w:line="266" w:lineRule="auto"/>
        <w:tabs>
          <w:tab w:leader="none" w:pos="1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40" w:name="page41"/>
    <w:bookmarkEnd w:id="40"/>
    <w:p>
      <w:pPr>
        <w:ind w:left="1140" w:hanging="646"/>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17" w:lineRule="exact"/>
        <w:rPr>
          <w:rFonts w:ascii="Times New Roman" w:cs="Times New Roman" w:eastAsia="Times New Roman" w:hAnsi="Times New Roman"/>
          <w:sz w:val="18"/>
          <w:szCs w:val="18"/>
          <w:color w:val="auto"/>
        </w:rPr>
      </w:pPr>
    </w:p>
    <w:p>
      <w:pPr>
        <w:ind w:left="1140" w:right="60" w:hanging="646"/>
        <w:spacing w:after="0" w:line="282" w:lineRule="auto"/>
        <w:tabs>
          <w:tab w:leader="none" w:pos="11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2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149"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MHRA,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54"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98" w:lineRule="exact"/>
        <w:rPr>
          <w:sz w:val="20"/>
          <w:szCs w:val="20"/>
          <w:color w:val="auto"/>
        </w:rPr>
      </w:pPr>
    </w:p>
    <w:p>
      <w:pPr>
        <w:ind w:left="44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future licensors are unable to obtain and maintain sufficient patent protection for any product candidates we may seek to develop, or if the scope of the patent protection is not sufficiently broad, third parties, including our potential competitors, could develop and commercialize products similar or identical to ours, and our ability to commercialize our product candidates may be adversely affected.</w:t>
      </w:r>
    </w:p>
    <w:p>
      <w:pPr>
        <w:spacing w:after="0" w:line="134"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and other intellectual property protection in the United States and in other countries with respect to any product candidates we may seek to develop.</w:t>
      </w:r>
    </w:p>
    <w:p>
      <w:pPr>
        <w:spacing w:after="0" w:line="121"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We cannot offer any assurances about which of, any our future patent applications will issue, the breadth of any resulting patent or whether any of the issued patents will be found invalid and unenforceable or will be threatened by third parties. We cannot offer any assurances that the breadth of our resulting or granted patents will be sufficient to stop a competitor from developing and commercializing a product, including a biosimilar product, that would be competitive with one or more of our product candidates. There is no assurance that all the potentially relevant prior art relating to our patent and patent applications has been found, which can invalidate a patent or prevent a patent from issuing from a pending patent application. Since patent applications in the United States and most other countries are confidential for a period of time after filing, we cannot be certain that we or our future licensors were the first to file any patent application related to our product candidates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995045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1" w:name="page42"/>
    <w:bookmarkEnd w:id="41"/>
    <w:p>
      <w:pPr>
        <w:ind w:right="600"/>
        <w:spacing w:after="0" w:line="282" w:lineRule="auto"/>
        <w:rPr>
          <w:sz w:val="20"/>
          <w:szCs w:val="20"/>
          <w:color w:val="auto"/>
        </w:rPr>
      </w:pPr>
      <w:r>
        <w:rPr>
          <w:rFonts w:ascii="Times New Roman" w:cs="Times New Roman" w:eastAsia="Times New Roman" w:hAnsi="Times New Roman"/>
          <w:sz w:val="18"/>
          <w:szCs w:val="18"/>
          <w:color w:val="auto"/>
        </w:rPr>
        <w:t>technologies. Additionally, a derivation proceeding before the United States Patent and Trademark Office can be initiated by a third party to contest inventorship of the subject matter claimed in our applications.</w:t>
      </w:r>
    </w:p>
    <w:p>
      <w:pPr>
        <w:spacing w:after="0" w:line="12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Furthermore, any successful challenge to these patents or any other patents owned by or licensed to us after patent issuance could deprive us of rights necessary for the successful commercialization of any of our product candidates and technologies that we may develop. Even if they are unchallenged or such third-party challenges are unsuccessful, our patent and patent applications may not adequately protect our intellectual property, provide exclusivity for our product candidates and technologies, or prevent others from designing around our claims. If the breadth or strength of protection provided by the patent and patent applications we hold, obtain or pursue with respect to our product candidates and technologies is challenged, or if they fail to provide meaningful exclusivity for our product candidates and technologies, it could threaten our ability to commercialize our product candidates and technologies. Further, if we encounter delays in regulatory approvals, the period of time during which we could market a product candidate under patent protection, if approved, would be reduced.</w:t>
      </w:r>
    </w:p>
    <w:p>
      <w:pPr>
        <w:spacing w:after="0" w:line="165"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We may not be able to prepare, file and prosecute all necessary or desirable patent applications at a commercially reasonable cost, in a timely manner, or in all jurisdictions. It is also possible that we may fail to identify patentable aspects of inventions made in the course of development and commercialization activities before it is too late to obtain patent protection.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In addition to the protection provided by our patent estate, we rely on trade secret protection and confidentiality agreements to protect proprietary scientific, business and technical information and know-how that is not or may not be patentable or that we elect not to patent. We seek to protect our proprietary information, 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If any of the parties to these confidentiality agreements breaches or violates the terms of such agreements, we may not have adequate remedies for any such breach or violation, and we could lose our trade secrets as a result.</w:t>
      </w:r>
    </w:p>
    <w:p>
      <w:pPr>
        <w:spacing w:after="0" w:line="15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Enforcing a claim that a third party illegally obtained and is using our trade secrets, like patent litigation, is expensive and time-consuming, and the outcome is unpredictable. Further, the laws of some foreign countries do not protect proprietary rights to the same extent or in the same manner as the laws of the United States. The enforceability of confidentiality agreements may vary from jurisdiction to jurisdiction. As a result, we may encounter significant problems in protecting and defending our intellectual property both in the United States and abroad. Additionally, if the steps taken to maintain our trade secrets are deemed inadequate, we may have insufficient recourse against third parties for misappropriating the trade secret. We cannot guarantee that our employees, former employees or consultants will not file patent applications claiming our inventions. Because of the “first-to-file” laws in the United States and the uncertainties surrounding outcomes of derivation proceedings before the United States Patent and Trademark Office, such unauthorized patent application filings may defeat our attempts to obtain patents on our own inventions.</w:t>
      </w:r>
    </w:p>
    <w:p>
      <w:pPr>
        <w:spacing w:after="0" w:line="151"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Moreover, our competitors may independently develop knowledge, methods and know-how equivalent to our trade secrets. Competitors could purchase our products and attempt to replicate some or all of the competitive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ind w:right="60"/>
        <w:spacing w:after="0" w:line="258" w:lineRule="auto"/>
        <w:rPr>
          <w:sz w:val="20"/>
          <w:szCs w:val="20"/>
          <w:color w:val="auto"/>
        </w:rPr>
      </w:pPr>
      <w:r>
        <w:rPr>
          <w:rFonts w:ascii="Times New Roman" w:cs="Times New Roman" w:eastAsia="Times New Roman" w:hAnsi="Times New Roman"/>
          <w:sz w:val="18"/>
          <w:szCs w:val="18"/>
          <w:color w:val="auto"/>
        </w:rPr>
        <w:t>we derive from our development efforts, willfully infringe our intellectual property rights, design around our protected technology or develop their own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any of our trade secrets and proprietary know-how were to be disclosed to or independently developed by a competitor, our competitive position would be harmed.</w:t>
      </w:r>
    </w:p>
    <w:p>
      <w:pPr>
        <w:spacing w:after="0" w:line="143"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w:t>
      </w:r>
    </w:p>
    <w:p>
      <w:pPr>
        <w:spacing w:after="0" w:line="149"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143" w:lineRule="exact"/>
        <w:rPr>
          <w:sz w:val="20"/>
          <w:szCs w:val="20"/>
          <w:color w:val="auto"/>
        </w:rPr>
      </w:pPr>
    </w:p>
    <w:p>
      <w:pPr>
        <w:ind w:left="44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any product we may seek to develop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134"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product candidates we may seek to develop are obtained, once the patent life has expired for a product, we may be open to competition from generic medications. 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spacing w:after="0" w:line="165" w:lineRule="exact"/>
        <w:rPr>
          <w:sz w:val="20"/>
          <w:szCs w:val="20"/>
          <w:color w:val="auto"/>
        </w:rPr>
      </w:pPr>
    </w:p>
    <w:p>
      <w:pPr>
        <w:ind w:left="44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imposed by any intellectual property licenses with third parties that we may need in the future, we could lose rights that are important to our business.</w:t>
      </w:r>
    </w:p>
    <w:p>
      <w:pPr>
        <w:spacing w:after="0" w:line="118"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We may in the future require licenses to additional third-party technology and materials. Such licenses may not be available in the future or may not be available on commercially reasonable terms, or at all, which could have a material adverse effect on our business and financial condition. Even if we acquire the right to control the prosecution, maintenance and enforcement of the licensed and sublicensed intellectual property relating to our product candidates, we may require the cooperation of our licensors and any upstream licensor, which may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978535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ind w:right="40"/>
        <w:spacing w:after="0" w:line="256" w:lineRule="auto"/>
        <w:rPr>
          <w:sz w:val="20"/>
          <w:szCs w:val="20"/>
          <w:color w:val="auto"/>
        </w:rPr>
      </w:pPr>
      <w:r>
        <w:rPr>
          <w:rFonts w:ascii="Times New Roman" w:cs="Times New Roman" w:eastAsia="Times New Roman" w:hAnsi="Times New Roman"/>
          <w:sz w:val="18"/>
          <w:szCs w:val="18"/>
          <w:color w:val="auto"/>
        </w:rPr>
        <w:t>forthcoming. Therefore, we cannot be certain that the prosecution, maintenance and enforcement of these patent rights will be in a manner consistent with the best interests of our business. If we or any future licensor fail to maintain such patents, or if we or our licensor lose rights to those patents or patent applications, the rights we have licensed may be reduced or eliminated and our right to develop and commercialize any of our product candidates that are the subject of such licensed rights could be adversely affected. In addition to the foregoing, the risks associated with patent rights that we license from third parties will also apply to patent rights we may own in the future. Further, if we fail to comply with our development obligations under our license agreements, we may lose our patent rights with respect to such agreement, which would affect our patent rights worldwide.</w:t>
      </w:r>
    </w:p>
    <w:p>
      <w:pPr>
        <w:spacing w:after="0" w:line="147"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Termination of any future license agreements would reduce or eliminate our rights under these agreements and may result in our having to negotiate new or reinstated agreements with less favorable terms or cause us to lose our rights under these agreements, including our rights to important intellectual property or technology. Any of the foregoing could prevent us from commercializing our other product candidates, which could have a material adverse effect on our operating results and overall financial condition.</w:t>
      </w:r>
    </w:p>
    <w:p>
      <w:pPr>
        <w:spacing w:after="0" w:line="153"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39" w:lineRule="exact"/>
        <w:rPr>
          <w:sz w:val="20"/>
          <w:szCs w:val="20"/>
          <w:color w:val="auto"/>
        </w:rPr>
      </w:pPr>
    </w:p>
    <w:p>
      <w:pPr>
        <w:ind w:left="44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future patents.</w:t>
      </w:r>
    </w:p>
    <w:p>
      <w:pPr>
        <w:spacing w:after="0" w:line="11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spacing w:after="0" w:line="156"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For example, on September 16, 2011, the Leahy-Smith America Invents Act, or the Leahy-Smith Act, was signed into law. The Leahy-Smith Act included a number of significant changes to U.S. patent law. These included provisions that affect the way patent applications will be prosecuted and may also affect patent litigation.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Finally, the Leahy-Smith Act contained new statutory provisions that require the USPTO to issue new regulations for their implementation, and it may take the courts years to interpret the provisions of the new statute. It is too early to tell what, if any, impact the Leahy-Smith Act will have on the operation of our business and the protection and enforcement of our intellectual property. However,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988695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As an example, some European patent applications will have the option, upon grant of a patent, of becoming a Unitary Patent, which will be subject to the jurisdiction of the Unified Patent Court, or UPC. The option of a Unitary Patent is a significant change in European patent practice. As the UPC is a new court system, there is limited precedent for the court, increasing the uncertainty of any litigation in the UPC.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145" w:lineRule="exact"/>
        <w:rPr>
          <w:sz w:val="20"/>
          <w:szCs w:val="20"/>
          <w:color w:val="auto"/>
        </w:rPr>
      </w:pPr>
    </w:p>
    <w:p>
      <w:pPr>
        <w:ind w:left="44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patents protecting product candidates we may seek to develop, which could be expensive, time consuming and unsuccessful.</w:t>
      </w:r>
    </w:p>
    <w:p>
      <w:pPr>
        <w:spacing w:after="0" w:line="132"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Potential competitors may infringe issued patents or any patents issued as a result of pending or future patent applications related to product candidates we may seek to develop.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in such infringement proceeding from using the technology at issue on the grounds that our or our licensor’s patents do not cover the technology in question. An adverse result in any litigation or defense proceedings could put one or more of such patents at risk of being invalidated, held unenforceable or interpreted narrowly, and could put any of our patent applications at risk of not yielding an issued patent.</w:t>
      </w:r>
    </w:p>
    <w:p>
      <w:pPr>
        <w:spacing w:after="0" w:line="147"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 xml:space="preserve">If we initiate legal proceedings against a third party to enforce a patent covering a product candidate we may seek to develop,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PTO, or made a misleading statement, during prosecution. Third parties may also raise similar claims before administrative bodies in the United States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and equivalent proceedings in foreign jurisdictions (for example, opposition proceedings, nullity proceedings or litigation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invalidation trials or invalidation proceedings). Such proceedings could result in revocation of or amendment to our patents in such a way that they no longer cover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w:t>
      </w:r>
    </w:p>
    <w:p>
      <w:pPr>
        <w:spacing w:after="0" w:line="15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Derivation proceedings initiated by third parties or us may be necessary to determine the inventorship (and possibly also ownership) of inventions with respect to our patent applications or resulting patents, or patent applications or resulting patents of third parties. An unfavorable outcome could require us to cease using the related technology or force us to take a license under the patent rights of the prevailing party, if available. Furthermore, our business could be harmed if the prevailing party does not offer us a license on commercially reasonable terms.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5" w:name="page46"/>
    <w:bookmarkEnd w:id="45"/>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defense of litigation or interference proceedings may fail and, even if successful, may result in substantial costs and distract our management and other employees. We may not be able to prevent misappropriation of our intellectual property rights, particularly in countries where the laws may not protect those rights as fully as in the United States.</w:t>
      </w:r>
    </w:p>
    <w:p>
      <w:pPr>
        <w:spacing w:after="0" w:line="135"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49" w:lineRule="exact"/>
        <w:rPr>
          <w:sz w:val="20"/>
          <w:szCs w:val="20"/>
          <w:color w:val="auto"/>
        </w:rPr>
      </w:pPr>
    </w:p>
    <w:p>
      <w:pPr>
        <w:ind w:lef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 party patents or may incorrectly interpret the relevance, scope or expiration of a third party patent which might adversely affect our ability to develop and market products.</w:t>
      </w:r>
    </w:p>
    <w:p>
      <w:pPr>
        <w:spacing w:after="0" w:line="118" w:lineRule="exact"/>
        <w:rPr>
          <w:sz w:val="20"/>
          <w:szCs w:val="20"/>
          <w:color w:val="auto"/>
        </w:rPr>
      </w:pPr>
    </w:p>
    <w:p>
      <w:pPr>
        <w:ind w:right="400" w:firstLine="405"/>
        <w:spacing w:after="0" w:line="261"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and validity of patent claims or the expiration of relevant patents, are or will be complete or thorough, nor can we be certain that we have identified or will identify each and every third party patent and pending application in the United States and abroad that is relevant to or necessary for the commercialization of product candidates we may seek to develop in any jurisdiction.</w:t>
      </w:r>
    </w:p>
    <w:p>
      <w:pPr>
        <w:spacing w:after="0" w:line="13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 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156" w:lineRule="exact"/>
        <w:rPr>
          <w:sz w:val="20"/>
          <w:szCs w:val="20"/>
          <w:color w:val="auto"/>
        </w:rPr>
      </w:pPr>
    </w:p>
    <w:p>
      <w:pPr>
        <w:ind w:left="44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118" w:lineRule="exact"/>
        <w:rPr>
          <w:sz w:val="20"/>
          <w:szCs w:val="20"/>
          <w:color w:val="auto"/>
        </w:rPr>
      </w:pPr>
    </w:p>
    <w:p>
      <w:pPr>
        <w:ind w:right="80" w:firstLine="405"/>
        <w:spacing w:after="0" w:line="270" w:lineRule="auto"/>
        <w:rPr>
          <w:sz w:val="20"/>
          <w:szCs w:val="20"/>
          <w:color w:val="auto"/>
        </w:rPr>
      </w:pPr>
      <w:r>
        <w:rPr>
          <w:rFonts w:ascii="Times New Roman" w:cs="Times New Roman" w:eastAsia="Times New Roman" w:hAnsi="Times New Roman"/>
          <w:sz w:val="17"/>
          <w:szCs w:val="17"/>
          <w:color w:val="auto"/>
        </w:rPr>
        <w:t>A third party may hold intellectual property, including patent rights that are important or necessary to the development and commercialization of product candidates we may seek to develop. It may be necessary for us to use the patented or proprietary technology of third parties to commercialize such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w:t>
      </w:r>
    </w:p>
    <w:p>
      <w:pPr>
        <w:spacing w:after="0" w:line="132" w:lineRule="exact"/>
        <w:rPr>
          <w:sz w:val="20"/>
          <w:szCs w:val="20"/>
          <w:color w:val="auto"/>
        </w:rPr>
      </w:pPr>
    </w:p>
    <w:p>
      <w:pPr>
        <w:ind w:left="44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w:t>
      </w:r>
    </w:p>
    <w:p>
      <w:pPr>
        <w:spacing w:after="0" w:line="13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drug candidates that we may seek to develop and use our proprietary technologies without infringing or otherwise violating the patents and proprietary rights of third parties. As any future product candidate we may seek to develop progresses toward commercialization, the possibility of a patent infringement claim against us would increase. There is a substantial amount of litigation involving patent and other intellectual property rights in the biotechnology and pharmaceutical industries, including patent infringement lawsuits, interferences, derivation proceedings, post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6" w:name="page47"/>
    <w:bookmarkEnd w:id="46"/>
    <w:p>
      <w:pPr>
        <w:ind w:right="40"/>
        <w:spacing w:after="0" w:line="258" w:lineRule="auto"/>
        <w:rPr>
          <w:sz w:val="20"/>
          <w:szCs w:val="20"/>
          <w:color w:val="auto"/>
        </w:rPr>
      </w:pPr>
      <w:r>
        <w:rPr>
          <w:rFonts w:ascii="Times New Roman" w:cs="Times New Roman" w:eastAsia="Times New Roman" w:hAnsi="Times New Roman"/>
          <w:sz w:val="18"/>
          <w:szCs w:val="18"/>
          <w:color w:val="auto"/>
        </w:rPr>
        <w:t>reviews, inter partes reviews, and reexamination proceedings before the USPTO or oppositions and other comparable proceedings in foreign jurisdictions. Numerous United States and foreign issued patents and pending patent applications, which are owned by third parties, exist in the fields in which we are developing product candidates, and there may be third-party patents or patent applications with claims to materials, formulations, methods of manufacture or methods for treatment related to the use or manufacture of our product candidates and technologies. Third parties, including our competitors may initiate legal proceedings against us alleging that we are infringing or otherwise violating their patent or other intellectual property rights.</w:t>
      </w:r>
    </w:p>
    <w:p>
      <w:pPr>
        <w:spacing w:after="0" w:line="143"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cannot provide any assurance that any product candidates we may seek to develop will not infringe other parties’ patents or other proprietary rights, and competitors or other parties may assert that we infringe their proprietary rights in any event. We may become party to, or threatened with, adversarial proceedings or litigation regarding intellectual property rights with respect to our current and future product candidates, including interference or derivation proceedings before the USPTO. Even if we believe such claims are without merit, a court of competent jurisdiction could hold that these third-party patents are valid, enforceable and infringed, which could have a negative impact on our ability to commercialize our product candidates. In order to successfully challenge the validity of any such U.S. patent in federal court, we would need to overcome a presumption of validity. As this burden is high and requires us to present clear and convincing evidence as to the invalidity of any such U.S. patent claim, there is no assurance that a court of competent jurisdiction would agree with us and invalidate the claims of any such U.S. patent. Moreover, given the vast number of patents in our field of technology, we cannot be certain that we do not infringe existing patents or that we will not infringe patents that may be granted in the future.</w:t>
      </w:r>
    </w:p>
    <w:p>
      <w:pPr>
        <w:spacing w:after="0" w:line="16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In addition, third parties may obtain patents in the future and claim that our product candidates or technologies infringe upon these patents.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151"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If we are found to infringe a third party’s valid intellectual property rights, we could be required to obtain a license from such third party to continue commercializing our product candidates. However, we may not be able to obtain any required license on commercially reasonable terms or at all.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commercializing our product candidates. In addition, in any such proceeding or litigation, we could be found liable for substantial monetary damages, potentially including treble damages and attorneys’ fees, if we are found to have willfully infringed the patent at issue. A finding of infringement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151"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cost to us in defending or initiating any litigation or other proceeding relating to patent or other proprietary rights, even if resolved in our favor, could be substantial, and litigation would divert our management’s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7" w:name="page48"/>
    <w:bookmarkEnd w:id="47"/>
    <w:p>
      <w:pPr>
        <w:ind w:right="120"/>
        <w:spacing w:after="0" w:line="266"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31" w:lineRule="exact"/>
        <w:rPr>
          <w:sz w:val="20"/>
          <w:szCs w:val="20"/>
          <w:color w:val="auto"/>
        </w:rPr>
      </w:pPr>
    </w:p>
    <w:p>
      <w:pPr>
        <w:ind w:left="44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3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biopharmaceutical companies.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If we fail in defending any such claims, in addition to paying monetary damages, we may lose valuable intellectual property rights or personnel. There is no guarantee of success in defending these claims, and even if we are successful, litigation could result in substantial cost and be a distraction to our management and other employees.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future patents and other intellectual property.</w:t>
      </w:r>
    </w:p>
    <w:p>
      <w:pPr>
        <w:spacing w:after="0" w:line="18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 applications, our future patents issued as a result of our pending or future applications, or other intellectual property. We may be subject to ownership disputes in the future arising, for example, from conflicting obligations of consultants or others who are involved in developing product candidates we may seek to develop.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59" w:lineRule="exact"/>
        <w:rPr>
          <w:sz w:val="20"/>
          <w:szCs w:val="20"/>
          <w:color w:val="auto"/>
        </w:rPr>
      </w:pPr>
    </w:p>
    <w:p>
      <w:pPr>
        <w:ind w:left="44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118" w:lineRule="exact"/>
        <w:rPr>
          <w:sz w:val="20"/>
          <w:szCs w:val="20"/>
          <w:color w:val="auto"/>
        </w:rPr>
      </w:pPr>
    </w:p>
    <w:p>
      <w:pPr>
        <w:ind w:right="40" w:firstLine="405"/>
        <w:spacing w:after="0" w:line="271" w:lineRule="auto"/>
        <w:rPr>
          <w:sz w:val="20"/>
          <w:szCs w:val="20"/>
          <w:color w:val="auto"/>
        </w:rPr>
      </w:pPr>
      <w:r>
        <w:rPr>
          <w:rFonts w:ascii="Times New Roman" w:cs="Times New Roman" w:eastAsia="Times New Roman" w:hAnsi="Times New Roman"/>
          <w:sz w:val="17"/>
          <w:szCs w:val="17"/>
          <w:color w:val="auto"/>
        </w:rPr>
        <w:t>If we rely on third parties to manufacture or commercialize any product candidates we may seek to develop, or if we collaborate with additional third parties for the development of such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974725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our trade secrets or other unauthorized use or disclosure could have an adverse effect on our business and results of operations.</w:t>
      </w:r>
    </w:p>
    <w:p>
      <w:pPr>
        <w:spacing w:after="0" w:line="18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61" w:lineRule="exact"/>
        <w:rPr>
          <w:sz w:val="20"/>
          <w:szCs w:val="20"/>
          <w:color w:val="auto"/>
        </w:rPr>
      </w:pPr>
    </w:p>
    <w:p>
      <w:pPr>
        <w:ind w:left="44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118"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Filing and prosecuting patent applications and defending patents covering our product candidates in all countries throughout the world would be prohibitively expensive. Potential competitors may use our technologies in jurisdictions where we do not obtain patent protection to develop their own products and, further, may export otherwise infringing products to territories where we have patent protection, but enforcement rights are not as strong as that in the United States or Europe. These products may compete with the product candidates we may seek to develop, and our future patents or other intellectual property rights may not be effective or sufficient to prevent them from competing.</w:t>
      </w:r>
    </w:p>
    <w:p>
      <w:pPr>
        <w:spacing w:after="0" w:line="143"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153"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While we intend to protect any intellectual property rights in any product candidates we may seek to develop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47"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especially those relating to life sciences, which could make it difficult for us to stop the infringement of our future patents or marketing of competing products in violation of our proprietary rights generally. In addition, many countries limit the enforceability of patents against third parties, including government agencies or government contractors. In these countries, patents may provide limited or no benefit. Moreover, our ability to protect and enforce our intellectual property rights may be adversely affected by unforeseen changes in foreign intellectual property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9" w:name="page50"/>
    <w:bookmarkEnd w:id="49"/>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Proceedings to enforce our patent rights in other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enforce our intellectual property rights around the world may be inadequate to obtain a significant commercial advantage from the intellectual property that we develop or license from third parties.</w:t>
      </w:r>
    </w:p>
    <w:p>
      <w:pPr>
        <w:spacing w:after="0" w:line="148"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future intellectual property rights is uncertain because intellectual property rights have limitations and may not adequately protect our business or permit us to maintain our competitive advantage. The following examples are illustrative:</w:t>
      </w:r>
    </w:p>
    <w:p>
      <w:pPr>
        <w:spacing w:after="0" w:line="121" w:lineRule="exact"/>
        <w:rPr>
          <w:sz w:val="20"/>
          <w:szCs w:val="20"/>
          <w:color w:val="auto"/>
        </w:rPr>
      </w:pPr>
    </w:p>
    <w:p>
      <w:pPr>
        <w:ind w:left="1140" w:right="160" w:hanging="646"/>
        <w:spacing w:after="0" w:line="282" w:lineRule="auto"/>
        <w:tabs>
          <w:tab w:leader="none" w:pos="1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or otherwise competitive with product candidates we may seek to develop but that are not covered by the claims of our or future collaborator’s current or future patents;</w:t>
      </w:r>
    </w:p>
    <w:p>
      <w:pPr>
        <w:spacing w:after="0" w:line="53" w:lineRule="exact"/>
        <w:rPr>
          <w:rFonts w:ascii="Times New Roman" w:cs="Times New Roman" w:eastAsia="Times New Roman" w:hAnsi="Times New Roman"/>
          <w:sz w:val="18"/>
          <w:szCs w:val="18"/>
          <w:color w:val="auto"/>
        </w:rPr>
      </w:pPr>
    </w:p>
    <w:p>
      <w:pPr>
        <w:ind w:left="1140" w:right="480" w:hanging="646"/>
        <w:spacing w:after="0" w:line="282" w:lineRule="auto"/>
        <w:tabs>
          <w:tab w:leader="none" w:pos="1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in-license necessary for the manufacture, use, sale, offer for sale or importation of one or more product candidates we may seek to develop may be terminated by the licensor;</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future collaborators might not have been the first to make the inventions covered by our licensed-in, issued or future issued patents or our pending patent applications;</w:t>
      </w:r>
    </w:p>
    <w:p>
      <w:pPr>
        <w:spacing w:after="0" w:line="53" w:lineRule="exact"/>
        <w:rPr>
          <w:rFonts w:ascii="Times New Roman" w:cs="Times New Roman" w:eastAsia="Times New Roman" w:hAnsi="Times New Roman"/>
          <w:sz w:val="18"/>
          <w:szCs w:val="18"/>
          <w:color w:val="auto"/>
        </w:rPr>
      </w:pPr>
    </w:p>
    <w:p>
      <w:pPr>
        <w:ind w:left="1140" w:right="220" w:hanging="646"/>
        <w:spacing w:after="0" w:line="282" w:lineRule="auto"/>
        <w:tabs>
          <w:tab w:leader="none" w:pos="1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future collaborators might not have been the first to file patent applications covering certain of our inventions or the inventions we have licensed-in;</w:t>
      </w:r>
    </w:p>
    <w:p>
      <w:pPr>
        <w:spacing w:after="0" w:line="53" w:lineRule="exact"/>
        <w:rPr>
          <w:rFonts w:ascii="Times New Roman" w:cs="Times New Roman" w:eastAsia="Times New Roman" w:hAnsi="Times New Roman"/>
          <w:sz w:val="18"/>
          <w:szCs w:val="18"/>
          <w:color w:val="auto"/>
        </w:rPr>
      </w:pPr>
    </w:p>
    <w:p>
      <w:pPr>
        <w:ind w:left="1140" w:right="560" w:hanging="646"/>
        <w:spacing w:after="0" w:line="282" w:lineRule="auto"/>
        <w:tabs>
          <w:tab w:leader="none" w:pos="1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technologies we may seek to develop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future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be held invalid or unenforceable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not provide coverage for all aspects of our product candidates in all countries;</w:t>
      </w:r>
    </w:p>
    <w:p>
      <w:pPr>
        <w:spacing w:after="0" w:line="117" w:lineRule="exact"/>
        <w:rPr>
          <w:rFonts w:ascii="Times New Roman" w:cs="Times New Roman" w:eastAsia="Times New Roman" w:hAnsi="Times New Roman"/>
          <w:sz w:val="18"/>
          <w:szCs w:val="18"/>
          <w:color w:val="auto"/>
        </w:rPr>
      </w:pPr>
    </w:p>
    <w:p>
      <w:pPr>
        <w:ind w:left="1140" w:right="160" w:hanging="646"/>
        <w:spacing w:after="0" w:line="282" w:lineRule="auto"/>
        <w:tabs>
          <w:tab w:leader="none" w:pos="1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85" w:lineRule="exact"/>
        <w:rPr>
          <w:sz w:val="20"/>
          <w:szCs w:val="20"/>
          <w:color w:val="auto"/>
        </w:rPr>
      </w:pPr>
    </w:p>
    <w:p>
      <w:pPr>
        <w:jc w:val="both"/>
        <w:ind w:left="44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14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151" w:lineRule="exact"/>
        <w:rPr>
          <w:sz w:val="20"/>
          <w:szCs w:val="20"/>
          <w:color w:val="auto"/>
        </w:rPr>
      </w:pPr>
    </w:p>
    <w:p>
      <w:pPr>
        <w:ind w:left="1140" w:right="20" w:hanging="646"/>
        <w:spacing w:after="0" w:line="253" w:lineRule="auto"/>
        <w:tabs>
          <w:tab w:leader="none" w:pos="11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w:t>
      </w:r>
    </w:p>
    <w:p>
      <w:pPr>
        <w:spacing w:after="0" w:line="86" w:lineRule="exact"/>
        <w:rPr>
          <w:rFonts w:ascii="Times New Roman" w:cs="Times New Roman" w:eastAsia="Times New Roman" w:hAnsi="Times New Roman"/>
          <w:sz w:val="18"/>
          <w:szCs w:val="18"/>
          <w:color w:val="auto"/>
        </w:rPr>
      </w:pPr>
    </w:p>
    <w:p>
      <w:pPr>
        <w:ind w:left="1140" w:hanging="646"/>
        <w:spacing w:after="0" w:line="253" w:lineRule="auto"/>
        <w:tabs>
          <w:tab w:leader="none" w:pos="11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In addition, the government may assert that a claim including items or services resulting from a violation of the federal Anti-Kickback Statute constitutes a false or fraudulent claim for purposes of the federal False Claims Act;</w:t>
      </w:r>
    </w:p>
    <w:p>
      <w:pPr>
        <w:spacing w:after="0" w:line="70" w:lineRule="exact"/>
        <w:rPr>
          <w:rFonts w:ascii="Times New Roman" w:cs="Times New Roman" w:eastAsia="Times New Roman" w:hAnsi="Times New Roman"/>
          <w:sz w:val="18"/>
          <w:szCs w:val="18"/>
          <w:color w:val="auto"/>
        </w:rPr>
      </w:pPr>
    </w:p>
    <w:p>
      <w:pPr>
        <w:ind w:left="1140" w:right="120" w:hanging="646"/>
        <w:spacing w:after="0" w:line="241" w:lineRule="auto"/>
        <w:tabs>
          <w:tab w:leader="none" w:pos="11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1" w:name="page52"/>
    <w:bookmarkEnd w:id="51"/>
    <w:p>
      <w:pPr>
        <w:ind w:left="1140" w:right="120" w:hanging="646"/>
        <w:spacing w:after="0" w:line="264" w:lineRule="auto"/>
        <w:tabs>
          <w:tab w:leader="none" w:pos="11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or HITECH, and its implementing regulations, which imposes certain obligations, including mandatory contractual terms, with respect to safeguarding the privacy, security and transmission of individually identifiable health information without the appropriate authorization by entities subject to the law, such as health plans, healthcare clearinghouses and healthcare providers and their respective business associates and their covered subcontractors;</w:t>
      </w:r>
    </w:p>
    <w:p>
      <w:pPr>
        <w:spacing w:after="0" w:line="71" w:lineRule="exact"/>
        <w:rPr>
          <w:rFonts w:ascii="Times New Roman" w:cs="Times New Roman" w:eastAsia="Times New Roman" w:hAnsi="Times New Roman"/>
          <w:sz w:val="17"/>
          <w:szCs w:val="17"/>
          <w:color w:val="auto"/>
        </w:rPr>
      </w:pPr>
    </w:p>
    <w:p>
      <w:pPr>
        <w:ind w:left="1140" w:hanging="646"/>
        <w:spacing w:after="0" w:line="256" w:lineRule="auto"/>
        <w:tabs>
          <w:tab w:leader="none" w:pos="1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other health care professionals (such as physician assistants and nurse practitioners), and teaching hospitals, and (ii)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auto"/>
        </w:rPr>
      </w:pPr>
    </w:p>
    <w:p>
      <w:pPr>
        <w:ind w:left="1140" w:right="140" w:hanging="646"/>
        <w:spacing w:after="0" w:line="256" w:lineRule="auto"/>
        <w:tabs>
          <w:tab w:leader="none" w:pos="1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certain regulatory licenses to manufacture or distribute our products commercially and/or the registration of pharmaceutical sales representatives.</w:t>
      </w:r>
    </w:p>
    <w:p>
      <w:pPr>
        <w:spacing w:after="0" w:line="147"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14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56" w:lineRule="exact"/>
        <w:rPr>
          <w:sz w:val="20"/>
          <w:szCs w:val="20"/>
          <w:color w:val="auto"/>
        </w:rPr>
      </w:pPr>
    </w:p>
    <w:p>
      <w:pPr>
        <w:ind w:left="44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any product candidates we may seek to develop, they will remain subject to ongoing regulatory oversight, which may result in significant additional expense.</w:t>
      </w:r>
    </w:p>
    <w:p>
      <w:pPr>
        <w:spacing w:after="0" w:line="118" w:lineRule="exact"/>
        <w:rPr>
          <w:sz w:val="20"/>
          <w:szCs w:val="20"/>
          <w:color w:val="auto"/>
        </w:rPr>
      </w:pPr>
    </w:p>
    <w:p>
      <w:pPr>
        <w:ind w:right="320" w:firstLine="405"/>
        <w:spacing w:after="0" w:line="258" w:lineRule="auto"/>
        <w:rPr>
          <w:sz w:val="20"/>
          <w:szCs w:val="20"/>
          <w:color w:val="auto"/>
        </w:rPr>
      </w:pPr>
      <w:r>
        <w:rPr>
          <w:rFonts w:ascii="Times New Roman" w:cs="Times New Roman" w:eastAsia="Times New Roman" w:hAnsi="Times New Roman"/>
          <w:sz w:val="18"/>
          <w:szCs w:val="18"/>
          <w:color w:val="auto"/>
        </w:rPr>
        <w:t>Even if we obtain any regulatory approval for any product candidates we may seek to develop, they will be subject to ongoing regulatory requirements applicable to manufacturing, labeling, packaging, storage, advertising, promoting, sampling, record-keeping and submission of safety and other post-market information, among other things. Any regulatory approvals that we receive for any product candidates may also be subject to a risk evaluation and mitigation strategy, limitations on the approved indicated uses for which the drug may be marketed or to the conditions of approval, or requirements that we conduct potentially costly post-marketing testing and surveillance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2" w:name="page53"/>
    <w:bookmarkEnd w:id="52"/>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studies,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13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NDA or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162"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the NDA,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we fail to comply with applicable regulatory requirements following approval of any product candidates, a regulatory authority may:</w:t>
      </w:r>
    </w:p>
    <w:p>
      <w:pPr>
        <w:spacing w:after="0" w:line="185" w:lineRule="exact"/>
        <w:rPr>
          <w:sz w:val="20"/>
          <w:szCs w:val="20"/>
          <w:color w:val="auto"/>
        </w:rPr>
      </w:pPr>
    </w:p>
    <w:p>
      <w:pPr>
        <w:ind w:left="1140" w:hanging="646"/>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deficiency letter, untitled letter or warning letter asserting that we are in violation of the law;</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1140" w:right="180" w:hanging="646"/>
        <w:spacing w:after="0" w:line="282" w:lineRule="auto"/>
        <w:tabs>
          <w:tab w:leader="none" w:pos="11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marketing application or supplement to an approved application or comparable foreign marketing application (or any supplements thereto) submitted by us or our strategic partners;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drug;</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drug or otherwise require the withdrawal of the drug from the market;</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products or product candidates; or</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198"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and harm our business, financial condition, results of operations and prospects.</w:t>
      </w:r>
    </w:p>
    <w:p>
      <w:pPr>
        <w:spacing w:after="0" w:line="131" w:lineRule="exact"/>
        <w:rPr>
          <w:sz w:val="20"/>
          <w:szCs w:val="20"/>
          <w:color w:val="auto"/>
        </w:rPr>
      </w:pPr>
    </w:p>
    <w:p>
      <w:pPr>
        <w:ind w:left="44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MHRA or EMA approval for any product candidates we may seek to develop in the United States or European Union, we may never obtain approval for or commercialize any of them in any other jurisdiction, which would limit our ability to realize their full market potential.</w:t>
      </w:r>
    </w:p>
    <w:p>
      <w:pPr>
        <w:spacing w:after="0" w:line="134"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3" w:name="page54"/>
    <w:bookmarkEnd w:id="53"/>
    <w:p>
      <w:pPr>
        <w:ind w:firstLine="405"/>
        <w:spacing w:after="0" w:line="261" w:lineRule="auto"/>
        <w:rPr>
          <w:sz w:val="20"/>
          <w:szCs w:val="20"/>
          <w:color w:val="auto"/>
        </w:rPr>
      </w:pPr>
      <w:r>
        <w:rPr>
          <w:rFonts w:ascii="Times New Roman" w:cs="Times New Roman" w:eastAsia="Times New Roman" w:hAnsi="Times New Roman"/>
          <w:sz w:val="18"/>
          <w:szCs w:val="18"/>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3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foreign markets, and we do not have experience in obtaining regulatory approval in any jurisdiction, including in foreign markets. If we fail to comply with regulatory requirements in foreign markets or to obtain and maintain required approvals, or if regulatory approvals in foreign markets are delayed, our target market will be reduced and our ability to realize the full market potential of any product we seek to develop will be unrealized.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18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22" w:lineRule="exact"/>
        <w:rPr>
          <w:sz w:val="20"/>
          <w:szCs w:val="20"/>
          <w:color w:val="auto"/>
        </w:rPr>
      </w:pPr>
    </w:p>
    <w:p>
      <w:pPr>
        <w:ind w:right="20" w:firstLine="405"/>
        <w:spacing w:after="0" w:line="238"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has been significant interest in promoting changes in healthcare systems with the stated goals of containing healthcare costs, improving quality and/or expanding access. In the United States, the EU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insurers. Since its enactment, there have been amendments and judicial, Congressional and executive branch challenges to certain aspects of the ACA. For example, on July 4, 2025, the OBBBA was signed into law, which narrowed access to ACA marketplace exchange enrollment and declined to extend the ACA enhanced advanced premium tax credits that expired at the end of 2025, which, among other</w:t>
      </w:r>
    </w:p>
    <w:p>
      <w:pPr>
        <w:spacing w:after="0" w:line="1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59" w:lineRule="exact"/>
        <w:rPr>
          <w:sz w:val="20"/>
          <w:szCs w:val="20"/>
          <w:color w:val="auto"/>
        </w:rPr>
      </w:pPr>
    </w:p>
    <w:p>
      <w:pPr>
        <w:ind w:right="300" w:firstLine="405"/>
        <w:spacing w:after="0" w:line="242" w:lineRule="auto"/>
        <w:rPr>
          <w:sz w:val="20"/>
          <w:szCs w:val="20"/>
          <w:color w:val="auto"/>
        </w:rPr>
      </w:pPr>
      <w:r>
        <w:rPr>
          <w:rFonts w:ascii="Times New Roman" w:cs="Times New Roman" w:eastAsia="Times New Roman" w:hAnsi="Times New Roman"/>
          <w:sz w:val="18"/>
          <w:szCs w:val="18"/>
          <w:color w:val="auto"/>
        </w:rPr>
        <w:t>There have been amendments to executive, judicial and congressional challenges to certain aspects of the ACA. These changes include aggregate reductions to Medicare payments to providers of 2% per fiscal year, which began in 2013 and will remain in effect until 2032 unless additional Congressional action is taken.</w:t>
      </w:r>
    </w:p>
    <w:p>
      <w:pPr>
        <w:spacing w:after="0" w:line="17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or TrumpRx, U.S. patients and Medicaid programs prescription drug Most-Favored Nation pricing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54" w:name="page55"/>
    <w:bookmarkEnd w:id="54"/>
    <w:p>
      <w:pPr>
        <w:ind w:right="100"/>
        <w:spacing w:after="0" w:line="271" w:lineRule="auto"/>
        <w:rPr>
          <w:sz w:val="20"/>
          <w:szCs w:val="20"/>
          <w:color w:val="auto"/>
        </w:rPr>
      </w:pPr>
      <w:r>
        <w:rPr>
          <w:rFonts w:ascii="Times New Roman" w:cs="Times New Roman" w:eastAsia="Times New Roman" w:hAnsi="Times New Roman"/>
          <w:sz w:val="17"/>
          <w:szCs w:val="17"/>
          <w:color w:val="auto"/>
        </w:rPr>
        <w:t>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or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or PBM, payment methodologies, among other things. These actions and policies may significantly reduce U.S. drug prices, potentially impacting manufacturers’ global</w:t>
      </w:r>
    </w:p>
    <w:p>
      <w:pPr>
        <w:spacing w:after="0" w:line="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Program.We cannot predict which additional measures may be adopted or the impact of current and additional measures on the marketing, pricing and demand for our product candidates, if approved, which could have a material adverse effect on our business, financial condition and results of operations. In addition, FDA regulations and guidance may be revised or reinterpreted by the FDA in ways that may significantly affect our business and our products. Any new regulations or guidance, or revisions or reinterpretations of existing regulations or guidance, may impose additional costs or lengthen FDA review times for our product candidates. We cannot determine how changes in regulations, statutes, policies, or interpretations when and if issued, enacted or adopted, may affect our business in the future. Such changes could, among other things, require:</w:t>
      </w:r>
    </w:p>
    <w:p>
      <w:pPr>
        <w:spacing w:after="0" w:line="161" w:lineRule="exact"/>
        <w:rPr>
          <w:sz w:val="20"/>
          <w:szCs w:val="20"/>
          <w:color w:val="auto"/>
        </w:rPr>
      </w:pPr>
    </w:p>
    <w:p>
      <w:pPr>
        <w:ind w:left="1140" w:hanging="646"/>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replacements, or discontinuance of one or more of our products;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w:t>
      </w:r>
    </w:p>
    <w:p>
      <w:pPr>
        <w:spacing w:after="0" w:line="18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Further, the standards that the FDA and comparable foreign regulatory authorities use require judgment and can change, which makes it difficult to predict with certainty their application.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the impact of such changes, if any.</w:t>
      </w:r>
    </w:p>
    <w:p>
      <w:pPr>
        <w:spacing w:after="0" w:line="143"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Such changes would likely require substantial time and impose significant costs, or could reduce the potential commercial value of our product candidates, and could materially harm our business and our financial results. In addition, delays in receipt of or failure to receive regulatory clearances or approvals for any products would harm our business, financial condition, and results of operations.</w:t>
      </w:r>
    </w:p>
    <w:p>
      <w:pPr>
        <w:spacing w:after="0" w:line="145" w:lineRule="exact"/>
        <w:rPr>
          <w:sz w:val="20"/>
          <w:szCs w:val="20"/>
          <w:color w:val="auto"/>
        </w:rPr>
      </w:pPr>
    </w:p>
    <w:p>
      <w:pPr>
        <w:ind w:left="440" w:right="2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our information technology systems or those of the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16"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data about trial participants in connection with clinical trials, intellectual property sensitive third-party data and trade secrets (collectively, sensitive information).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983615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5" w:name="page56"/>
    <w:bookmarkEnd w:id="55"/>
    <w:p>
      <w:pPr>
        <w:ind w:right="240"/>
        <w:spacing w:after="0" w:line="266" w:lineRule="auto"/>
        <w:rPr>
          <w:sz w:val="20"/>
          <w:szCs w:val="20"/>
          <w:color w:val="auto"/>
        </w:rPr>
      </w:pPr>
      <w:r>
        <w:rPr>
          <w:rFonts w:ascii="Times New Roman" w:cs="Times New Roman" w:eastAsia="Times New Roman" w:hAnsi="Times New Roman"/>
          <w:sz w:val="18"/>
          <w:szCs w:val="18"/>
          <w:color w:val="auto"/>
        </w:rPr>
        <w:t>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35"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We and the third parties with whom we work are subject to a variety of evolving threats, including but not limited to social-engineering attacks (including through deep fakes, which are increasingly difficult to identify as fake, and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AI, and other similar threats. 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55" w:lineRule="exact"/>
        <w:rPr>
          <w:sz w:val="20"/>
          <w:szCs w:val="20"/>
          <w:color w:val="auto"/>
        </w:rPr>
      </w:pPr>
    </w:p>
    <w:p>
      <w:pPr>
        <w:ind w:firstLine="405"/>
        <w:spacing w:after="0" w:line="238" w:lineRule="auto"/>
        <w:rPr>
          <w:sz w:val="20"/>
          <w:szCs w:val="20"/>
          <w:color w:val="auto"/>
        </w:rPr>
      </w:pPr>
      <w:r>
        <w:rPr>
          <w:rFonts w:ascii="Times New Roman" w:cs="Times New Roman" w:eastAsia="Times New Roman" w:hAnsi="Times New Roman"/>
          <w:sz w:val="18"/>
          <w:szCs w:val="18"/>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17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rely on third parties and technologies to operate critical business systems to process sensitive information in a variety of contexts, including, without limitation, encryption and authentication technology, employee email and other functions. We also rely on third-party service providers to provide other products, services or otherwise to operate our business. Our ability to monitor these third parties’ information security practices is limited, and these third parties may not have adequate information security measures in place. If these third parties experience a security incident or other interruption, we could experience adverse consequences. While we may be entitled to damages if these third parties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in the supply chains of the third parties with whom we work have not been or will not be compromised.</w:t>
      </w:r>
    </w:p>
    <w:p>
      <w:pPr>
        <w:spacing w:after="0" w:line="15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Certain of the previously identified or similar threats have in the past and could in the future cause a security incident or other interruption that have in the past and could in the future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and unsuccessful attempts to impersonate key personnel in email in the past, and we expect such attempts will continue in the future. A security incident or other interruption could disrupt our ability (and that of third parties with whom we work) to provide our services. We expend significant resources and we may have to modify our business activities (including our clinical trial activities) to try to protect against security incidents. Certain data privacy and security obligations require us to implement and maintain specific security measures to protect our information technology systems and sensitive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6" w:name="page57"/>
    <w:bookmarkEnd w:id="56"/>
    <w:p>
      <w:pPr>
        <w:spacing w:after="0" w:line="15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It may be difficult 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153"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to detect, mitigate and remediate vulnerabilities in our information systems (such as our hardware or software, including that of third parties with whom we work), but we have not in the past and may not in the future be able to detect and remediate all vulnerabilities, including on a timely basis. Further, we have (and may in the future) experienced delays in developing and deploying remedial measures designed to address any such identified vulnerabilities. Vulnerabilities could be exploited and result in a security incident.</w:t>
      </w:r>
    </w:p>
    <w:p>
      <w:pPr>
        <w:spacing w:after="0" w:line="143"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material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w:t>
      </w:r>
    </w:p>
    <w:p>
      <w:pPr>
        <w:spacing w:after="0" w:line="151" w:lineRule="exact"/>
        <w:rPr>
          <w:sz w:val="20"/>
          <w:szCs w:val="20"/>
          <w:color w:val="auto"/>
        </w:rPr>
      </w:pPr>
    </w:p>
    <w:p>
      <w:pPr>
        <w:jc w:val="both"/>
        <w:ind w:right="360" w:firstLine="405"/>
        <w:spacing w:after="0" w:line="261" w:lineRule="auto"/>
        <w:rPr>
          <w:sz w:val="20"/>
          <w:szCs w:val="20"/>
          <w:color w:val="auto"/>
        </w:rPr>
      </w:pPr>
      <w:r>
        <w:rPr>
          <w:rFonts w:ascii="Times New Roman" w:cs="Times New Roman" w:eastAsia="Times New Roman" w:hAnsi="Times New Roman"/>
          <w:sz w:val="18"/>
          <w:szCs w:val="18"/>
          <w:color w:val="auto"/>
        </w:rPr>
        <w:t>Some of our contracts do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39" w:lineRule="exact"/>
        <w:rPr>
          <w:sz w:val="20"/>
          <w:szCs w:val="20"/>
          <w:color w:val="auto"/>
        </w:rPr>
      </w:pPr>
    </w:p>
    <w:p>
      <w:pPr>
        <w:ind w:right="220" w:firstLine="405"/>
        <w:spacing w:after="0" w:line="242"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66" w:lineRule="exact"/>
        <w:rPr>
          <w:sz w:val="20"/>
          <w:szCs w:val="20"/>
          <w:color w:val="auto"/>
        </w:rPr>
      </w:pPr>
    </w:p>
    <w:p>
      <w:pPr>
        <w:ind w:left="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stringent and evolving U.S. and foreign laws, regulations, rules, contractual obligations, policies and other obligations related to data privacy and data security, and our actual or perceived failure to comply with them could lead to regulatory investigations or actions; litigation; fines and penalties; disruptions of our business operations; reputational harm; loss of revenue or profits and other adverse business consequences.</w:t>
      </w:r>
    </w:p>
    <w:p>
      <w:pPr>
        <w:spacing w:after="0" w:line="140"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and other sensitive information.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3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7" w:name="page58"/>
    <w:bookmarkEnd w:id="57"/>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residents with rights concerning their personal data. For example, the California Consumer Privacy Act of 2018, or the CCPA, as amended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per violation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and the third parties with whom we work. Other states have also passed or are considering comprehensive privacy laws, and similar laws are being considered at the federal and local levels. These developments may further complicate compliance efforts and may increase legal risk and compliance costs for us and the third parties with whom we work.</w:t>
      </w:r>
    </w:p>
    <w:p>
      <w:pPr>
        <w:spacing w:after="0" w:line="151" w:lineRule="exact"/>
        <w:rPr>
          <w:sz w:val="20"/>
          <w:szCs w:val="20"/>
          <w:color w:val="auto"/>
        </w:rPr>
      </w:pPr>
    </w:p>
    <w:p>
      <w:pPr>
        <w:ind w:right="60" w:firstLine="405"/>
        <w:spacing w:after="0" w:line="238" w:lineRule="auto"/>
        <w:rPr>
          <w:sz w:val="20"/>
          <w:szCs w:val="20"/>
          <w:color w:val="auto"/>
        </w:rPr>
      </w:pPr>
      <w:r>
        <w:rPr>
          <w:rFonts w:ascii="Times New Roman" w:cs="Times New Roman" w:eastAsia="Times New Roman" w:hAnsi="Times New Roman"/>
          <w:sz w:val="18"/>
          <w:szCs w:val="18"/>
          <w:color w:val="auto"/>
        </w:rPr>
        <w:t>We are also bound by contractual obligations related to data privacy and security, and our efforts to comply with such obligations may not be successful. For example, certain privacy laws, such as the UK GDPR and the CCPA, require our customers to impose specific contractual restrictions on their service providers. We publish privacy policies, marketing materials and other statements regarding data privacy and security. Regulators in the United States are increasingly scrutinizing these statements, and if these policies, materials or statements are found to be deficient, lacking in transparency, deceptive, misleading, unfair or misrepresentative of our practices, we may be subject to investigation, enforcement actions by regulators or other adverse consequences.</w:t>
      </w:r>
    </w:p>
    <w:p>
      <w:pPr>
        <w:spacing w:after="0" w:line="172"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services,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any products, expenditure of time and resources to defend any claim or inquiry, adverse publicity or substantial changes to our business model or operations.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spacing w:after="0" w:line="150" w:lineRule="exact"/>
        <w:rPr>
          <w:sz w:val="20"/>
          <w:szCs w:val="20"/>
          <w:color w:val="auto"/>
        </w:rPr>
      </w:pPr>
    </w:p>
    <w:p>
      <w:pPr>
        <w:ind w:left="44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11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could involve the use of hazardous and flammable materials, including chemicals and biological materials. Our operations could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ind w:right="220"/>
        <w:spacing w:after="0" w:line="282" w:lineRule="auto"/>
        <w:rPr>
          <w:sz w:val="20"/>
          <w:szCs w:val="20"/>
          <w:color w:val="auto"/>
        </w:rPr>
      </w:pPr>
      <w:r>
        <w:rPr>
          <w:rFonts w:ascii="Times New Roman" w:cs="Times New Roman" w:eastAsia="Times New Roman" w:hAnsi="Times New Roman"/>
          <w:sz w:val="18"/>
          <w:szCs w:val="18"/>
          <w:color w:val="auto"/>
        </w:rPr>
        <w:t>laws, we could be held responsible for costs relating to any contamination at our current or past facilities and at third-party facilities. We also could incur significant costs associated with civil or criminal fines and penalties.</w:t>
      </w:r>
    </w:p>
    <w:p>
      <w:pPr>
        <w:spacing w:after="0" w:line="12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89"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We are highly dependent on the management, development, clinical, financial and business development expertise of our executive officers. Each of our executive officers may currently terminate their employment with us at any time. We do not maintain “key person” insurance for any of our executives or employees.</w:t>
      </w:r>
    </w:p>
    <w:p>
      <w:pPr>
        <w:spacing w:after="0" w:line="14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may also experience competition for the hiring of scientific and clinical personnel from universities and research institutions. In addition, we rely on consultants and advisors, including scientific and clinical advisors, to assist us, including in formulating our development and commercialization strategy for any product candidates we may seek to develop.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strategy will be limited.</w:t>
      </w:r>
    </w:p>
    <w:p>
      <w:pPr>
        <w:spacing w:after="0" w:line="147" w:lineRule="exact"/>
        <w:rPr>
          <w:sz w:val="20"/>
          <w:szCs w:val="20"/>
          <w:color w:val="auto"/>
        </w:rPr>
      </w:pPr>
    </w:p>
    <w:p>
      <w:pPr>
        <w:ind w:left="44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resources may not be sufficient to manage our future growth; failure to properly manage our potential growth could disrupt our operations and adversely affect our business, financial condition, results of operations and prospects.</w:t>
      </w:r>
    </w:p>
    <w:p>
      <w:pPr>
        <w:spacing w:after="0" w:line="118" w:lineRule="exact"/>
        <w:rPr>
          <w:sz w:val="20"/>
          <w:szCs w:val="20"/>
          <w:color w:val="auto"/>
        </w:rPr>
      </w:pPr>
    </w:p>
    <w:p>
      <w:pPr>
        <w:ind w:right="120" w:firstLine="405"/>
        <w:spacing w:after="0" w:line="253" w:lineRule="auto"/>
        <w:rPr>
          <w:sz w:val="20"/>
          <w:szCs w:val="20"/>
          <w:color w:val="auto"/>
        </w:rPr>
      </w:pPr>
      <w:r>
        <w:rPr>
          <w:rFonts w:ascii="Times New Roman" w:cs="Times New Roman" w:eastAsia="Times New Roman" w:hAnsi="Times New Roman"/>
          <w:sz w:val="18"/>
          <w:szCs w:val="18"/>
          <w:color w:val="auto"/>
        </w:rPr>
        <w:t>Even if we obtain funding for operations, we may fail to adequately manage our future growth. As and to the extent we are successful in licensing or otherwise acquiring and developing new product candidates, we expect to experience significant growth and change in the scope of our operations, particularly in the areas of clinical product development, regulatory affairs, manufacturing and, if any of our product candidates receives marketing approval, sales, marketing and distribution. Any change in our operations may place a significant strain on our administrative, financial and operational resources, and increase demands on our management, as well as our operational and administrative systems, controls and other resources. There can be no assurances that our existing personnel, systems, procedures or controls will be adequate to support our operations in the future; or that we will be able to successfully implement appropriate measures consistent with our strategy. To strategically manage our future growth, we must continue to implement and improve our managerial, operational and financial systems, expand our facilities and continue to recruit, train and retain additional personnel. Due to our limited financial resources and the limited experience of our management team in managing a company with such potential future growth, we may not be able to effectively manage the strategic expansion of our operations, manage our employee base or recruit, train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9" w:name="page60"/>
    <w:bookmarkEnd w:id="59"/>
    <w:p>
      <w:pPr>
        <w:ind w:right="380"/>
        <w:spacing w:after="0" w:line="282" w:lineRule="auto"/>
        <w:rPr>
          <w:sz w:val="20"/>
          <w:szCs w:val="20"/>
          <w:color w:val="auto"/>
        </w:rPr>
      </w:pPr>
      <w:r>
        <w:rPr>
          <w:rFonts w:ascii="Times New Roman" w:cs="Times New Roman" w:eastAsia="Times New Roman" w:hAnsi="Times New Roman"/>
          <w:sz w:val="18"/>
          <w:szCs w:val="18"/>
          <w:color w:val="auto"/>
        </w:rPr>
        <w:t>and retain additional personnel. Our failure to properly manage our potential growth may lead to significant costs and may divert our management and business development resources. Any inability to manage growth could delay the execution of our business plans or disrupt our operations.</w:t>
      </w:r>
    </w:p>
    <w:p>
      <w:pPr>
        <w:spacing w:after="0" w:line="117" w:lineRule="exact"/>
        <w:rPr>
          <w:sz w:val="20"/>
          <w:szCs w:val="20"/>
          <w:color w:val="auto"/>
        </w:rPr>
      </w:pPr>
    </w:p>
    <w:p>
      <w:pPr>
        <w:ind w:left="44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132"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our Status as a Public Company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continue to be developed or sustained.</w:t>
      </w:r>
    </w:p>
    <w:p>
      <w:pPr>
        <w:spacing w:after="0" w:line="202"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LLC. If an active trading market for our shares does not continue to be developed or sustained, it may be difficult for you to sell shares of our common stock at an attractive price or at all.</w:t>
      </w:r>
    </w:p>
    <w:p>
      <w:pPr>
        <w:spacing w:after="0" w:line="117" w:lineRule="exact"/>
        <w:rPr>
          <w:sz w:val="20"/>
          <w:szCs w:val="20"/>
          <w:color w:val="auto"/>
        </w:rPr>
      </w:pPr>
    </w:p>
    <w:p>
      <w:pPr>
        <w:ind w:left="440"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may continue to be very volatile, and purchasers of our common stock could incur substantial losses.</w:t>
      </w:r>
    </w:p>
    <w:p>
      <w:pPr>
        <w:spacing w:after="0" w:line="13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Our stock price has been and may continue to be very volatile. The stock market in general and the market for smaller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139" w:lineRule="exact"/>
        <w:rPr>
          <w:sz w:val="20"/>
          <w:szCs w:val="20"/>
          <w:color w:val="auto"/>
        </w:rPr>
      </w:pPr>
    </w:p>
    <w:p>
      <w:pPr>
        <w:ind w:left="1140" w:hanging="646"/>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license-in or otherwise acquire any new product candidates and the perceived attractiveness of any such product candidates;</w:t>
      </w:r>
    </w:p>
    <w:p>
      <w:pPr>
        <w:spacing w:after="0" w:line="117" w:lineRule="exact"/>
        <w:rPr>
          <w:rFonts w:ascii="Times New Roman" w:cs="Times New Roman" w:eastAsia="Times New Roman" w:hAnsi="Times New Roman"/>
          <w:sz w:val="18"/>
          <w:szCs w:val="18"/>
          <w:color w:val="auto"/>
        </w:rPr>
      </w:pPr>
    </w:p>
    <w:p>
      <w:pPr>
        <w:ind w:left="1140" w:right="80" w:hanging="646"/>
        <w:spacing w:after="0" w:line="282" w:lineRule="auto"/>
        <w:tabs>
          <w:tab w:leader="none" w:pos="11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any future clinical trials we may conduct, or changes in the development status of any product candidates we may seek to develop;</w:t>
      </w:r>
    </w:p>
    <w:p>
      <w:pPr>
        <w:spacing w:after="0" w:line="53" w:lineRule="exact"/>
        <w:rPr>
          <w:rFonts w:ascii="Times New Roman" w:cs="Times New Roman" w:eastAsia="Times New Roman" w:hAnsi="Times New Roman"/>
          <w:sz w:val="18"/>
          <w:szCs w:val="18"/>
          <w:color w:val="auto"/>
        </w:rPr>
      </w:pPr>
    </w:p>
    <w:p>
      <w:pPr>
        <w:ind w:left="1140" w:right="220" w:hanging="646"/>
        <w:spacing w:after="0" w:line="282" w:lineRule="auto"/>
        <w:tabs>
          <w:tab w:leader="none" w:pos="11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any product candidate we may seek to develop, and any adverse development or perceived adverse development with respect to the applicable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924560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0" w:name="page61"/>
    <w:bookmarkEnd w:id="60"/>
    <w:p>
      <w:pPr>
        <w:ind w:left="1140" w:right="280"/>
        <w:spacing w:after="0" w:line="282" w:lineRule="auto"/>
        <w:rPr>
          <w:sz w:val="20"/>
          <w:szCs w:val="20"/>
          <w:color w:val="auto"/>
        </w:rPr>
      </w:pPr>
      <w:r>
        <w:rPr>
          <w:rFonts w:ascii="Times New Roman" w:cs="Times New Roman" w:eastAsia="Times New Roman" w:hAnsi="Times New Roman"/>
          <w:sz w:val="18"/>
          <w:szCs w:val="18"/>
          <w:color w:val="auto"/>
        </w:rPr>
        <w:t>authority’s review of such filings, including without limitation the FDA’s issuance of a “refusal to file” letter or a request for additional information;</w:t>
      </w:r>
    </w:p>
    <w:p>
      <w:pPr>
        <w:spacing w:after="0" w:line="54" w:lineRule="exact"/>
        <w:rPr>
          <w:sz w:val="20"/>
          <w:szCs w:val="20"/>
          <w:color w:val="auto"/>
        </w:rPr>
      </w:pPr>
    </w:p>
    <w:p>
      <w:pPr>
        <w:ind w:left="1140" w:hanging="646"/>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termination of clinical trials;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any product candidate;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equity research analysts who might cover our stock;</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140" w:right="60" w:hanging="646"/>
        <w:spacing w:after="0" w:line="282" w:lineRule="auto"/>
        <w:tabs>
          <w:tab w:leader="none" w:pos="11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competitors with respect to competing product candidates or new product candidates or technologies, or the results of clinical trials or regulatory decisions;</w:t>
      </w:r>
    </w:p>
    <w:p>
      <w:pPr>
        <w:spacing w:after="0" w:line="53" w:lineRule="exact"/>
        <w:rPr>
          <w:rFonts w:ascii="Times New Roman" w:cs="Times New Roman" w:eastAsia="Times New Roman" w:hAnsi="Times New Roman"/>
          <w:sz w:val="18"/>
          <w:szCs w:val="18"/>
          <w:color w:val="auto"/>
        </w:rPr>
      </w:pPr>
    </w:p>
    <w:p>
      <w:pPr>
        <w:ind w:left="1140" w:right="560" w:hanging="646"/>
        <w:spacing w:after="0" w:line="282" w:lineRule="auto"/>
        <w:tabs>
          <w:tab w:leader="none" w:pos="11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biopharmaceutical industry;</w:t>
      </w:r>
    </w:p>
    <w:p>
      <w:pPr>
        <w:spacing w:after="0" w:line="53" w:lineRule="exact"/>
        <w:rPr>
          <w:rFonts w:ascii="Times New Roman" w:cs="Times New Roman" w:eastAsia="Times New Roman" w:hAnsi="Times New Roman"/>
          <w:sz w:val="18"/>
          <w:szCs w:val="18"/>
          <w:color w:val="auto"/>
        </w:rPr>
      </w:pPr>
    </w:p>
    <w:p>
      <w:pPr>
        <w:ind w:left="1140" w:right="260" w:hanging="646"/>
        <w:spacing w:after="0" w:line="282" w:lineRule="auto"/>
        <w:tabs>
          <w:tab w:leader="none" w:pos="11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1140" w:right="440" w:hanging="646"/>
        <w:spacing w:after="0" w:line="282" w:lineRule="auto"/>
        <w:tabs>
          <w:tab w:leader="none" w:pos="11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 such as our recent strategic reprioritization and restructurings;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any collaborators;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including fluctuations in interest rates and tariffs;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85"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The stock market in general, and the Nasdaq Stock Market and smaller biotechnology companies in particular, have experienced extreme price and volume fluctuations that have often been unrelated or disproportionate to the operating performance of these companies, which has resulted in decreased stock prices for many companies notwithstanding the lack of a fundamental change in their underlying business models or prospects. Broad market and industry factors, including armed conflicts, supply chain disruptions, heightened inflation and fluctuations in interest rates, tariffs, recent and potential future international trade disruptions and potentially worsening global economic or geopolitical conditions,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16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and biotechnology companies following periods of volatility in the market prices of these companies’ stock. This risk is especially relevant for us because pharmaceutical and biotechnology companies have experienced significant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61" w:name="page62"/>
    <w:bookmarkEnd w:id="61"/>
    <w:p>
      <w:pPr>
        <w:ind w:right="160"/>
        <w:spacing w:after="0" w:line="261" w:lineRule="auto"/>
        <w:rPr>
          <w:sz w:val="20"/>
          <w:szCs w:val="20"/>
          <w:color w:val="auto"/>
        </w:rPr>
      </w:pPr>
      <w:r>
        <w:rPr>
          <w:rFonts w:ascii="Times New Roman" w:cs="Times New Roman" w:eastAsia="Times New Roman" w:hAnsi="Times New Roman"/>
          <w:sz w:val="18"/>
          <w:szCs w:val="18"/>
          <w:color w:val="auto"/>
        </w:rPr>
        <w:t>volatility in recent years. Recently, multiple plaintiffs’ law firms publicly issued announcements stating that they are investigating potential securities law claims on behalf of our investors. Such litigation, if instituted against us, could cause us to incur substantial costs, subject us to damages or settlement awards and divert management’s attention and resources from our business, which could materially harm our reputation, business, financial condition, results of operations and prospects.</w:t>
      </w:r>
    </w:p>
    <w:p>
      <w:pPr>
        <w:spacing w:after="0" w:line="135" w:lineRule="exact"/>
        <w:rPr>
          <w:sz w:val="20"/>
          <w:szCs w:val="20"/>
          <w:color w:val="auto"/>
        </w:rPr>
      </w:pPr>
    </w:p>
    <w:p>
      <w:pPr>
        <w:ind w:left="44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32"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44" w:lineRule="exact"/>
        <w:rPr>
          <w:sz w:val="20"/>
          <w:szCs w:val="20"/>
          <w:color w:val="auto"/>
        </w:rPr>
      </w:pPr>
    </w:p>
    <w:p>
      <w:pPr>
        <w:ind w:left="44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available for immediate resale. This could cause the market price of our common stock to drop significantly, even if our business is doing well.</w:t>
      </w:r>
    </w:p>
    <w:p>
      <w:pPr>
        <w:spacing w:after="0" w:line="118"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49" w:lineRule="exact"/>
        <w:rPr>
          <w:sz w:val="20"/>
          <w:szCs w:val="20"/>
          <w:color w:val="auto"/>
        </w:rPr>
      </w:pPr>
    </w:p>
    <w:p>
      <w:pPr>
        <w:jc w:val="both"/>
        <w:ind w:right="220" w:firstLine="405"/>
        <w:spacing w:after="0" w:line="261" w:lineRule="auto"/>
        <w:rPr>
          <w:sz w:val="20"/>
          <w:szCs w:val="20"/>
          <w:color w:val="auto"/>
        </w:rPr>
      </w:pPr>
      <w:r>
        <w:rPr>
          <w:rFonts w:ascii="Times New Roman" w:cs="Times New Roman" w:eastAsia="Times New Roman" w:hAnsi="Times New Roman"/>
          <w:sz w:val="18"/>
          <w:szCs w:val="18"/>
          <w:color w:val="auto"/>
        </w:rPr>
        <w:t>In addition, we have filed registration statements on Form S-8 under the Securities Act of 1933, as amended, or the Securities Act, registering the issuance of approximately 2.0 million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w:t>
      </w:r>
    </w:p>
    <w:p>
      <w:pPr>
        <w:spacing w:after="0" w:line="139"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If these additional shares are sold, or if it is perceived that they will be sold, in the public market, the trading price of our common stock could decline.</w:t>
      </w:r>
    </w:p>
    <w:p>
      <w:pPr>
        <w:spacing w:after="0" w:line="117" w:lineRule="exact"/>
        <w:rPr>
          <w:sz w:val="20"/>
          <w:szCs w:val="20"/>
          <w:color w:val="auto"/>
        </w:rPr>
      </w:pPr>
    </w:p>
    <w:p>
      <w:pPr>
        <w:ind w:left="44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3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including:</w:t>
      </w:r>
    </w:p>
    <w:p>
      <w:pPr>
        <w:spacing w:after="0" w:line="185" w:lineRule="exact"/>
        <w:rPr>
          <w:sz w:val="20"/>
          <w:szCs w:val="20"/>
          <w:color w:val="auto"/>
        </w:rPr>
      </w:pPr>
    </w:p>
    <w:p>
      <w:pPr>
        <w:ind w:left="1140" w:hanging="646"/>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of our three classes of directors will be elected each year;</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be entitled to remove directors other than by a 66 2/3% vote and only for cause;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be permitted to take actions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2" w:name="page63"/>
    <w:bookmarkEnd w:id="62"/>
    <w:p>
      <w:pPr>
        <w:ind w:left="1140" w:hanging="646"/>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cannot call a special meeting of stockholders;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submit proposals for consideration at stockholder meetings.</w:t>
      </w:r>
    </w:p>
    <w:p>
      <w:pPr>
        <w:spacing w:after="0" w:line="18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52" w:lineRule="exact"/>
        <w:rPr>
          <w:sz w:val="20"/>
          <w:szCs w:val="20"/>
          <w:color w:val="auto"/>
        </w:rPr>
      </w:pPr>
    </w:p>
    <w:p>
      <w:pPr>
        <w:ind w:left="44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11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Our executive officers, directors and current beneficial owners of 5% or more of our common stock and their respective affiliates beneficially own a significant portion of our outstanding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13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145" w:lineRule="exact"/>
        <w:rPr>
          <w:sz w:val="20"/>
          <w:szCs w:val="20"/>
          <w:color w:val="auto"/>
        </w:rPr>
      </w:pPr>
    </w:p>
    <w:p>
      <w:pPr>
        <w:ind w:left="440"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95"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we intend to take advantage of some of the exemptions from reporting requirements that are applicable to other public companies that are not emerging growth companies, including:</w:t>
      </w:r>
    </w:p>
    <w:p>
      <w:pPr>
        <w:spacing w:after="0" w:line="135" w:lineRule="exact"/>
        <w:rPr>
          <w:sz w:val="20"/>
          <w:szCs w:val="20"/>
          <w:color w:val="auto"/>
        </w:rPr>
      </w:pPr>
    </w:p>
    <w:p>
      <w:pPr>
        <w:ind w:left="1140" w:right="400" w:hanging="646"/>
        <w:spacing w:after="0" w:line="266" w:lineRule="auto"/>
        <w:tabs>
          <w:tab w:leader="none" w:pos="11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6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140" w:right="300" w:hanging="646"/>
        <w:spacing w:after="0" w:line="266" w:lineRule="auto"/>
        <w:tabs>
          <w:tab w:leader="none" w:pos="11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117" w:lineRule="exact"/>
        <w:rPr>
          <w:rFonts w:ascii="Times New Roman" w:cs="Times New Roman" w:eastAsia="Times New Roman" w:hAnsi="Times New Roman"/>
          <w:sz w:val="18"/>
          <w:szCs w:val="18"/>
          <w:color w:val="auto"/>
        </w:rPr>
      </w:pPr>
    </w:p>
    <w:p>
      <w:pPr>
        <w:ind w:left="1140" w:right="540" w:hanging="646"/>
        <w:spacing w:after="0" w:line="282" w:lineRule="auto"/>
        <w:tabs>
          <w:tab w:leader="none" w:pos="11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 nonbinding advisory vote on executive compensation and stockholder approval of any golden parachute payments not previously approved.</w:t>
      </w:r>
    </w:p>
    <w:p>
      <w:pPr>
        <w:spacing w:after="0" w:line="13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December 31, 2026, (ii) the last day of the fiscal year in which we have total annual gross revenue of at least $1.235 billion, (iii) the last day of the fiscal year in which we are deemed to be a “large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63" w:name="page64"/>
    <w:bookmarkEnd w:id="63"/>
    <w:p>
      <w:pPr>
        <w:ind w:right="20"/>
        <w:spacing w:after="0" w:line="266" w:lineRule="auto"/>
        <w:rPr>
          <w:sz w:val="20"/>
          <w:szCs w:val="20"/>
          <w:color w:val="auto"/>
        </w:rPr>
      </w:pPr>
      <w:r>
        <w:rPr>
          <w:rFonts w:ascii="Times New Roman" w:cs="Times New Roman" w:eastAsia="Times New Roman" w:hAnsi="Times New Roman"/>
          <w:sz w:val="18"/>
          <w:szCs w:val="18"/>
          <w:color w:val="auto"/>
        </w:rPr>
        <w:t>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under certain circumstances,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our cash and cash equivalents.</w:t>
      </w:r>
    </w:p>
    <w:p>
      <w:pPr>
        <w:spacing w:after="0" w:line="18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You may not agree with our decisions, and our use of the proceeds may not yield any return on your investment. Our failure to apply our cash and cash equivalents effectively could compromise our ability to pursue our strategy and we might not be able to yield a significant return, if any, on our investment of these net proceeds. You will not have the opportunity to influence our decisions on how to use our cash and cash equivalents.</w:t>
      </w:r>
    </w:p>
    <w:p>
      <w:pPr>
        <w:spacing w:after="0" w:line="135" w:lineRule="exact"/>
        <w:rPr>
          <w:sz w:val="20"/>
          <w:szCs w:val="20"/>
          <w:color w:val="auto"/>
        </w:rPr>
      </w:pPr>
    </w:p>
    <w:p>
      <w:pPr>
        <w:ind w:left="44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3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135" w:lineRule="exact"/>
        <w:rPr>
          <w:sz w:val="20"/>
          <w:szCs w:val="20"/>
          <w:color w:val="auto"/>
        </w:rPr>
      </w:pPr>
    </w:p>
    <w:p>
      <w:pPr>
        <w:jc w:val="both"/>
        <w:ind w:lef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34"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35" w:lineRule="exact"/>
        <w:rPr>
          <w:sz w:val="20"/>
          <w:szCs w:val="20"/>
          <w:color w:val="auto"/>
        </w:rPr>
      </w:pPr>
    </w:p>
    <w:p>
      <w:pPr>
        <w:ind w:left="1140" w:hanging="646"/>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1140" w:right="560" w:hanging="646"/>
        <w:spacing w:after="0" w:line="282" w:lineRule="auto"/>
        <w:tabs>
          <w:tab w:leader="none" w:pos="11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 and</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85"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other jurisdictions and there can be no assurance that the provisions will be enforced by a court in those other jurisdictions.</w:t>
      </w:r>
    </w:p>
    <w:p>
      <w:pPr>
        <w:spacing w:after="0" w:line="18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and demands upon management as a result of being a public company.</w:t>
      </w:r>
    </w:p>
    <w:p>
      <w:pPr>
        <w:spacing w:after="0" w:line="18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costs.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w:t>
      </w:r>
    </w:p>
    <w:p>
      <w:pPr>
        <w:spacing w:after="0" w:line="15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13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35" w:lineRule="exact"/>
        <w:rPr>
          <w:sz w:val="20"/>
          <w:szCs w:val="20"/>
          <w:color w:val="auto"/>
        </w:rPr>
      </w:pPr>
    </w:p>
    <w:p>
      <w:pPr>
        <w:ind w:left="44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32"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the Sarbanes-Oxley Act of 2002, or the Sarbanes-Oxley Act, and the rules and regulations of the stock market on which our common stock is listed. The Sarbanes-Oxley Act requires, among other things, that we maintain effective disclosure controls and procedures and internal control over financial reporting.</w:t>
      </w:r>
    </w:p>
    <w:p>
      <w:pPr>
        <w:spacing w:after="0" w:line="135"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We must perform system and process evaluation and testing of our internal control over financial reporting to allow management to report on the effectiveness of our internal control over financial reporting in our Annual Report on Form 10-K each year, as required by Section 404 of the Sarbanes-Oxley Act. This requires that we incur substantial professional fees and internal costs on accounting and finance functions and that we expend significant management efforts.</w:t>
      </w:r>
    </w:p>
    <w:p>
      <w:pPr>
        <w:spacing w:after="0" w:line="13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5" w:name="page66"/>
    <w:bookmarkEnd w:id="65"/>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Securities and Exchange Commission or other regulatory authorities.</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accrued amounts.</w:t>
      </w:r>
    </w:p>
    <w:p>
      <w:pPr>
        <w:spacing w:after="0" w:line="202"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We are subject to taxation in more than one tax jurisdiction.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newly enacted tax legislation or regulations, changes in the mix of our profitability from jurisdiction to jurisdiction, the results of examinations and audits of our tax filings, our inability to secure or sustain acceptable agreements with tax authorities and changes in accounting for income taxes. Any of these factors could cause us to experience an effective tax rate significantly different from previous periods or our current expectations and may result in tax obligations in excess of amounts accrued in our financial statements.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w:t>
      </w:r>
    </w:p>
    <w:p>
      <w:pPr>
        <w:spacing w:after="0" w:line="18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have generated and expect to continue to generate in the future significant federal and state net operating loss, or NOL, carryforwards. These NOL carryforwards could expire unused and be unavailable to offset future income tax liabilities. U.S. federal NOLs incurred in taxable years beginning after December 31, 2017 may be carried forward indefinitely, but the deductibility of such federal NOL carryforwards in a taxable year is limited to 80% of taxable income in such year.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Our initial public offering, together with private placements and other transactions that have occurred since our inception, may have triggered such an ownership change pursuant to Section 382. We have not yet completed a Section 382 analysis. We may experience ownership changes as a result of subsequent shifts in our stock ownership, some of which may be outside of our control. If an ownership change occurs and our ability to use our NOL carryforwards is materially limited, it would harm our future operating results by effectively increasing our future tax obligations. We have a full valuation allowance for deferred tax assets including NOLs.</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Our business activities could be subject to the Foreign Corrupt Practices Act, or FCPA, and similar anti-bribery and anti-corruption laws.</w:t>
      </w:r>
    </w:p>
    <w:p>
      <w:pPr>
        <w:spacing w:after="0" w:line="189" w:lineRule="exact"/>
        <w:rPr>
          <w:sz w:val="20"/>
          <w:szCs w:val="20"/>
          <w:color w:val="auto"/>
        </w:rPr>
      </w:pPr>
    </w:p>
    <w:p>
      <w:pPr>
        <w:ind w:right="20" w:firstLine="405"/>
        <w:spacing w:after="0" w:line="269" w:lineRule="auto"/>
        <w:rPr>
          <w:sz w:val="20"/>
          <w:szCs w:val="20"/>
          <w:color w:val="auto"/>
        </w:rPr>
      </w:pPr>
      <w:r>
        <w:rPr>
          <w:rFonts w:ascii="Times New Roman" w:cs="Times New Roman" w:eastAsia="Times New Roman" w:hAnsi="Times New Roman"/>
          <w:sz w:val="17"/>
          <w:szCs w:val="17"/>
          <w:color w:val="auto"/>
        </w:rPr>
        <w:t>Our business activities could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980440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6" w:name="page67"/>
    <w:bookmarkEnd w:id="66"/>
    <w:p>
      <w:pPr>
        <w:ind w:right="280"/>
        <w:spacing w:after="0" w:line="261" w:lineRule="auto"/>
        <w:rPr>
          <w:sz w:val="20"/>
          <w:szCs w:val="20"/>
          <w:color w:val="auto"/>
        </w:rPr>
      </w:pPr>
      <w:r>
        <w:rPr>
          <w:rFonts w:ascii="Times New Roman" w:cs="Times New Roman" w:eastAsia="Times New Roman" w:hAnsi="Times New Roman"/>
          <w:sz w:val="18"/>
          <w:szCs w:val="18"/>
          <w:color w:val="auto"/>
        </w:rPr>
        <w:t>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products in one or more countries as well as difficulties in manufacturing or continuing to develop products, and could materially damage our reputation, our brand, our ability to attract and retain employees, and our business, prospects, operating results, and financial condition.</w:t>
      </w:r>
    </w:p>
    <w:p>
      <w:pPr>
        <w:spacing w:after="0" w:line="135" w:lineRule="exact"/>
        <w:rPr>
          <w:sz w:val="20"/>
          <w:szCs w:val="20"/>
          <w:color w:val="auto"/>
        </w:rPr>
      </w:pPr>
    </w:p>
    <w:p>
      <w:pPr>
        <w:ind w:left="44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layoff, shifting priorities under the new administration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53"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layoffs and statutory, regulatory, and policy changes. Average review times at the agency have fluctuated in recent years as a result.</w:t>
      </w:r>
    </w:p>
    <w:p>
      <w:pPr>
        <w:spacing w:after="0" w:line="135"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or biologics to be reviewed and/or approved by necessary government agencies, which would adversely affect our business. In addition, the current administration has discussed several changes to the reach and oversight of the FDA, which could affect its relationship with the pharmaceutical industry, transparency in decision making and ultimately the cost and availability of prescription drugs. Additionally, over the last several years, the U.S. government has shut down multiple times and certain regulatory agencies, such as the FDA, have had to furlough critical FDA and other government employees and stop critical activities. If funding for the FDA is reduced, FDA priorities change, or a prolonged government shutdown occurs, it could significantly impact the ability of the FDA to timely review and process our regulatory submissions, which could have a material adverse effect on our business.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and political conditions could adversely affect our business, financial condition or results of operations.</w:t>
      </w:r>
    </w:p>
    <w:p>
      <w:pPr>
        <w:spacing w:after="0" w:line="20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adversely affected by general conditions in the global economy, the global financial markets and global political conditions. The financial markets and the global economy may also be adversely affected by the current or anticipated impact of ongoing military conflicts, terrorism or other geopolitical events, and political tensions between the U.S. and China. Sanctions imposed by the United States and other countries in response to such conflicts and political tensions may also adversely impact our business, the financial markets and the global economy, and any economic countermeasures by the affected countries or others could exacerbate market and economic instability. Furthermore, a severe or prolonged economic downturn, including a recession or depression or major epidemic or pandemic, or political disruption could result in a variety of risks to our business and could negatively impact, among other things, our ability to raise additional capital when needed on acceptable terms, if at all. Any of the foregoing could seriously harm our business, and we cannot anticipate all of the ways in which the political or economic climate and financial market conditions could seriously harm our business.</w:t>
      </w:r>
    </w:p>
    <w:p>
      <w:pPr>
        <w:spacing w:after="0" w:line="144" w:lineRule="exact"/>
        <w:rPr>
          <w:sz w:val="20"/>
          <w:szCs w:val="20"/>
          <w:color w:val="auto"/>
        </w:rPr>
      </w:pPr>
    </w:p>
    <w:p>
      <w:pPr>
        <w:ind w:left="44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Non-U.S. holders of our common stock may be subject to U.S. federal income tax if we are considered a United States real property holding corporation.</w:t>
      </w:r>
    </w:p>
    <w:p>
      <w:pPr>
        <w:spacing w:after="0" w:line="118"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Non-U.S. holders of our common stock may be subject to U.S. federal income and/or withholding tax in the event we are considered a United States real property holding corporation, or USRPHC, for U.S. federal income tax purposes. We believe that we currently are not considered a USRPHC. However, because this determination is made from time to time and is dependent upon a number of factors, some of which are beyond our control, including the value of our assets, there can be no assurance that we will not become a USRPHC. If we ultimately are determined by the United States Internal Revenue Service to constitute a USRPHC, certain of our non-U.S. holders may be subject to U.S. federal income or withholding tax, or both, in respect of certain dispositions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89" w:lineRule="exact"/>
        <w:rPr>
          <w:sz w:val="20"/>
          <w:szCs w:val="20"/>
          <w:color w:val="auto"/>
        </w:rPr>
      </w:pPr>
    </w:p>
    <w:p>
      <w:pPr>
        <w:ind w:right="20" w:firstLine="405"/>
        <w:spacing w:after="0" w:line="289" w:lineRule="auto"/>
        <w:rPr>
          <w:sz w:val="20"/>
          <w:szCs w:val="20"/>
          <w:color w:val="auto"/>
        </w:rPr>
      </w:pPr>
      <w:r>
        <w:rPr>
          <w:rFonts w:ascii="Times New Roman" w:cs="Times New Roman" w:eastAsia="Times New Roman" w:hAnsi="Times New Roman"/>
          <w:sz w:val="17"/>
          <w:szCs w:val="17"/>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clinical trial data or Information Systems and Data.</w:t>
      </w:r>
    </w:p>
    <w:p>
      <w:pPr>
        <w:spacing w:after="0" w:line="131"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Company’s information technology (IT) Department, led by our Global Head of IT, helps identify, assess, and manage the Company’s cybersecurity threats and risks. The IT Department identifies and assesses risks from cybersecurity threats by monitoring and evaluating our threat environment using various methods including, for example subscribing to reports and services that identify certain cybersecurity threats, analyzing reports of threats and actors, using automated tools to identify certain risks within our collaboration environment, evaluating certain threats reported to us, engaging third parties to conduct threat assessments, conducting vulnerability assessments, and using external intelligence feeds.</w:t>
      </w:r>
    </w:p>
    <w:p>
      <w:pPr>
        <w:spacing w:after="0" w:line="143" w:lineRule="exact"/>
        <w:rPr>
          <w:sz w:val="20"/>
          <w:szCs w:val="20"/>
          <w:color w:val="auto"/>
        </w:rPr>
      </w:pPr>
    </w:p>
    <w:p>
      <w:pPr>
        <w:ind w:right="440" w:firstLine="405"/>
        <w:spacing w:after="0" w:line="258" w:lineRule="auto"/>
        <w:rPr>
          <w:sz w:val="20"/>
          <w:szCs w:val="20"/>
          <w:color w:val="auto"/>
        </w:rPr>
      </w:pPr>
      <w:r>
        <w:rPr>
          <w:rFonts w:ascii="Times New Roman" w:cs="Times New Roman" w:eastAsia="Times New Roman" w:hAnsi="Times New Roman"/>
          <w:sz w:val="18"/>
          <w:szCs w:val="18"/>
          <w:color w:val="auto"/>
        </w:rPr>
        <w:t>Depending on the environment and systems, we implement and maintain various technical, physical, and organizational measures, processes, standards and policies designed to manage and mitigate material risks from cybersecurity threats to our Information Systems and Data, including, for example: incident response policy, incident detection and response, employee cybersecurity awareness training, encryption of certain data, endpoint detection and response for certain endpoints, network security controls, physical security, access controls, asset management, tracking and disposal, systems monitoring, cybersecurity insurance, and a managed Security Operations Center (SOC).</w:t>
      </w:r>
    </w:p>
    <w:p>
      <w:pPr>
        <w:spacing w:after="0" w:line="143"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our senior management along with our IT Department evaluates material risks from cybersecurity threats against our overall business objectives and reports to the Audit Committee of our Board of Directors, which evaluates our overall enterprise risk.</w:t>
      </w:r>
    </w:p>
    <w:p>
      <w:pPr>
        <w:spacing w:after="0" w:line="149"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a threat intelligence service provider, cybersecurity software providers, and managed cybersecurity service providers.</w:t>
      </w:r>
    </w:p>
    <w:p>
      <w:pPr>
        <w:spacing w:after="0" w:line="121" w:lineRule="exact"/>
        <w:rPr>
          <w:sz w:val="20"/>
          <w:szCs w:val="20"/>
          <w:color w:val="auto"/>
        </w:rPr>
      </w:pPr>
    </w:p>
    <w:p>
      <w:pPr>
        <w:ind w:right="320" w:firstLine="405"/>
        <w:spacing w:after="0" w:line="281" w:lineRule="auto"/>
        <w:rPr>
          <w:sz w:val="20"/>
          <w:szCs w:val="20"/>
          <w:color w:val="auto"/>
        </w:rPr>
      </w:pPr>
      <w:r>
        <w:rPr>
          <w:rFonts w:ascii="Times New Roman" w:cs="Times New Roman" w:eastAsia="Times New Roman" w:hAnsi="Times New Roman"/>
          <w:sz w:val="17"/>
          <w:szCs w:val="17"/>
          <w:color w:val="auto"/>
        </w:rPr>
        <w:t>We use third-party service providers to perform a variety of functions throughout our business, such as application providers, hosting companies, contract research organizations, and contract manufacturing organizations.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including reviewing security assessment reports from certain vendors.</w:t>
      </w:r>
    </w:p>
    <w:p>
      <w:pPr>
        <w:spacing w:after="0" w:line="124" w:lineRule="exact"/>
        <w:rPr>
          <w:sz w:val="20"/>
          <w:szCs w:val="20"/>
          <w:color w:val="auto"/>
        </w:rPr>
      </w:pPr>
    </w:p>
    <w:p>
      <w:pPr>
        <w:ind w:firstLine="405"/>
        <w:spacing w:after="0" w:line="274" w:lineRule="auto"/>
        <w:rPr>
          <w:sz w:val="20"/>
          <w:szCs w:val="20"/>
          <w:color w:val="auto"/>
        </w:rPr>
      </w:pPr>
      <w:r>
        <w:rPr>
          <w:rFonts w:ascii="Times New Roman" w:cs="Times New Roman" w:eastAsia="Times New Roman" w:hAnsi="Times New Roman"/>
          <w:sz w:val="17"/>
          <w:szCs w:val="17"/>
          <w:color w:val="auto"/>
        </w:rPr>
        <w:t>For a description of the risks from cybersecurity threats that may materially affect the Company and how they may do so, see our risk factors under Part 1. Item 1A. Risk Factors in this Annual Report on Form 10-K, including “</w:t>
      </w:r>
      <w:r>
        <w:rPr>
          <w:rFonts w:ascii="Times New Roman" w:cs="Times New Roman" w:eastAsia="Times New Roman" w:hAnsi="Times New Roman"/>
          <w:sz w:val="17"/>
          <w:szCs w:val="17"/>
          <w:i w:val="1"/>
          <w:iCs w:val="1"/>
          <w:color w:val="auto"/>
        </w:rPr>
        <w:t>If our information technology systems or those of the third parties 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We are subject to a variety of stringent and evolving U.S. and foreign laws, regulations, rules, contractual obligations, policies and other obligations related to data privacy and data security, and our actual or perceived failure to comply with them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982980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68" w:name="page69"/>
    <w:bookmarkEnd w:id="68"/>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lead to regulatory investigations or actions; litigation; fines and penalties; disruptions of our business operations; reputational harm; loss of revenue or profits; and other adverse business consequences.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02"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Audit Committee of our Board of Directors is responsible for overseeing Company’s cybersecurity risk management processes, including oversight of mitigation of risks from cybersecurity threats.</w:t>
      </w:r>
    </w:p>
    <w:p>
      <w:pPr>
        <w:spacing w:after="0" w:line="135"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Global Head of IT who has over 20 years of experience managing cybersecurity and IT risks, including working at other biotechnology and cell therapy companies.</w:t>
      </w:r>
    </w:p>
    <w:p>
      <w:pPr>
        <w:spacing w:after="0" w:line="135"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Global Head of IT along with the Chief Financial Officer (“CFO”) are responsible for hiring appropriate personnel, helping to integrate cybersecurity risk considerations into the Company’s overall risk management strategy, and communicating key priorities to relevant personnel. The CFO is responsible for approving cybersecurity-related budgets, helping prepare for cybersecurity incidents, approving cybersecurity processes, and reviewing security assessments and other security-related reports.</w:t>
      </w:r>
    </w:p>
    <w:p>
      <w:pPr>
        <w:spacing w:after="0" w:line="153" w:lineRule="exact"/>
        <w:rPr>
          <w:sz w:val="20"/>
          <w:szCs w:val="20"/>
          <w:color w:val="auto"/>
        </w:rPr>
      </w:pPr>
    </w:p>
    <w:p>
      <w:pPr>
        <w:ind w:right="480" w:firstLine="405"/>
        <w:spacing w:after="0" w:line="266" w:lineRule="auto"/>
        <w:rPr>
          <w:sz w:val="20"/>
          <w:szCs w:val="20"/>
          <w:color w:val="auto"/>
        </w:rPr>
      </w:pPr>
      <w:r>
        <w:rPr>
          <w:rFonts w:ascii="Times New Roman" w:cs="Times New Roman" w:eastAsia="Times New Roman" w:hAnsi="Times New Roman"/>
          <w:sz w:val="18"/>
          <w:szCs w:val="18"/>
          <w:color w:val="auto"/>
        </w:rPr>
        <w:t>Our cybersecurity incident response policy is designed to escalate certain cybersecurity incidents to members of management depending on the circumstances, including our Global Head of IT, CFO and Chief Executive Officer (“CEO”). Our Global Head of IT, CFO and CEO work with the Company’s incident response team to help the Company mitigate and remediate cybersecurity incidents of which they are notified.</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Audit Committee receives periodic reports of certain cybersecurity incidents from our Global Head of IT pursuant to the Company’s incident</w:t>
      </w:r>
    </w:p>
    <w:p>
      <w:pPr>
        <w:spacing w:after="0" w:line="5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response plan and the processes the Company has implemented to address them. The Audit Committee also has access to various reports, summaries or presentations related to cybersecurity threats, risk, and mitigation.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wholly owned subsidiary, Complex Therapeutics LLC, owns a manufacturing facility in Tarzana, California and in July 2024 it leased the facility to AstraZeneca. The facility consists of 128,097 square feet of clinical and commercial manufacturing space.</w:t>
      </w:r>
    </w:p>
    <w:p>
      <w:pPr>
        <w:spacing w:after="0" w:line="121"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Our headquarters is located in Dallas, Texas and consists of 5,055 square feet of leased office space under a lease that expires in April 2026. We also lease 7,728 square feet of leased laboratory and office space in Alderley Park, United Kingdom, under three leases that expire in November 2026.</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believe that our current facilities are adequate for our current needs.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currently subject to any material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5" w:right="379" w:bottom="1440" w:gutter="0" w:footer="0" w:header="0"/>
        </w:sectPr>
      </w:pPr>
    </w:p>
    <w:bookmarkStart w:id="69" w:name="page70"/>
    <w:bookmarkEnd w:id="69"/>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1720"/>
        <w:spacing w:after="0" w:line="464"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ind w:left="420"/>
        <w:spacing w:after="0"/>
        <w:rPr>
          <w:sz w:val="20"/>
          <w:szCs w:val="20"/>
          <w:color w:val="auto"/>
        </w:rPr>
      </w:pPr>
      <w:r>
        <w:rPr>
          <w:rFonts w:ascii="Times New Roman" w:cs="Times New Roman" w:eastAsia="Times New Roman" w:hAnsi="Times New Roman"/>
          <w:sz w:val="18"/>
          <w:szCs w:val="18"/>
          <w:color w:val="auto"/>
        </w:rPr>
        <w:t>Our common stock is listed on the Nasdaq Stock Market under the symbol “TIL”.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March 25, 2026, there were 13 stockholders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and do not anticipate declaring or paying in the foreseeable future, any cash dividends on our capital stock. We currently intend to retain all available funds and any future earnings to support our operations and finance the growth and development of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13" w:right="539"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in this Annual Report on Form 10-K. This discussion contains forward-looking statements that reflect our plans, estimates and beliefs and involve numerous risks and uncertainties, including but not limited to those described in the “Risk Factors” section of this Annual Report. Actual results may differ materially from those contained in any forward-looking statements. You should carefully read the “Special Note Regarding Forward-Looking Statements,” “Risk Factor Summary,” and “Risk Factors” sections above.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are a biotechnology company focused on identifying and advancing innovative therapeutic opportunities.</w:t>
      </w:r>
    </w:p>
    <w:p>
      <w:pPr>
        <w:spacing w:after="0" w:line="19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In January 2026, we announced that our wholly owned subsidiary, Axion Bio, was discontinuing development of AXN-2510, our former lead product candidate. We are actively seeking to in-license or acquire and develop additional novel therapeutic candidates in diseases with significant unmet medical need.</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Since inception, we have had significant operating losses. Our net loss was $71.4 million and $74.1 million for the years ended December 31, 2025 and 2024, respectively. As of December 31, 2025, we had an accumulated deficit of $726.5 million. As of December 31, 2025, we had cash, cash equivalents, restricted cash and marketable securities of $76.3 million, which consisted of $6.6 million in cash and cash equivalents, $0.2 million of restricted cash and $69.5 million in marketable securities. We expect to continue to incur net losses for the foreseeable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In-Process Research and Development</w:t>
      </w:r>
    </w:p>
    <w:p>
      <w:pPr>
        <w:spacing w:after="0" w:line="200"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In-process research and development (IPR&amp;D) expenses include IPR&amp;D acquired as part of in-license payments made to ImmuneOnco for our prior product candidate AXN-2510, for which there is no alternative future use and are expensed as incurred.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7"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research and development, manufacturing, monitoring and other services payments and, to a lesser extent, salaries, benefits and other personnel-related costs, including stock-based compensation, professional service fees, and facility and other related costs. In addition, research and development expense is presented net of reimbursements from reimbursable tax and expenditure credits and grants from the UK government.</w:t>
      </w:r>
    </w:p>
    <w:p>
      <w:pPr>
        <w:spacing w:after="0" w:line="153"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expect our future research and development expenses to change in line with our potential business development activities and any nonclinical and clinical development activities. Our expenditures on any future nonclinical and clinical development programs are subject to numerous uncertainties in timing and cost to completion. The duration, costs and timing of clinical trials and development of product candidates will depend on a variety of factors, including:</w:t>
      </w:r>
    </w:p>
    <w:p>
      <w:pPr>
        <w:spacing w:after="0" w:line="139" w:lineRule="exact"/>
        <w:rPr>
          <w:sz w:val="20"/>
          <w:szCs w:val="20"/>
          <w:color w:val="auto"/>
        </w:rPr>
      </w:pPr>
    </w:p>
    <w:p>
      <w:pPr>
        <w:ind w:left="1140" w:hanging="646"/>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clinical trials and other research and development activities;</w:t>
      </w:r>
    </w:p>
    <w:p>
      <w:pPr>
        <w:spacing w:after="0" w:line="2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safety monitoring and other studies requested by regulatory agencies;</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regulatory approvals, if any.</w:t>
      </w:r>
    </w:p>
    <w:p>
      <w:pPr>
        <w:spacing w:after="0" w:line="16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process of conducting the necessary clinical research to obtain regulatory approval from the FDA, Medicines and Healthcare Products Regulatory Agency, or MHRA, European Medicines Agency, or EMA,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spacing w:after="0" w:line="15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comparable foreign authorities is costly and time consuming and the successful development of product candidates is highly uncertain. The risks and uncertainties associated with our research and development projects are discussed more fully in the section of this Annual Report titled “Risk Factors.” As a result of these risks and uncertainties, we are unable to determine with any degree of certainty the duration and completion costs of our research and development projects,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compensation and personnel-related expenses, including stock-based compensation, for our personnel in executive, finance and other administrative functions. General and administrative expenses also include professional fees paid for accounting, auditing, legal, tax and consulting services, insurance costs, recruiting costs, travel expenses, facility and other related costs, depreciation, and other general and administrative costs.</w:t>
      </w:r>
    </w:p>
    <w:p>
      <w:pPr>
        <w:spacing w:after="0" w:line="13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expect to continue to incur expenses as a result of operating as a public company, including expenses related to compliance with the rules and regulations of the SEC, director and officer insurance expenses, and any investor relations related expenses, as well as other administrative and professional services.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Impairment Charges</w:t>
      </w:r>
    </w:p>
    <w:p>
      <w:pPr>
        <w:spacing w:after="0" w:line="187"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Restructuring and impairment charges for the year ended December 31, 2025 consisted primarily of fees related to terminated contracts and an impairment loss recognized on long-lived assets held for sale in connection with listing the Tarzana facility for sale in March 2025.</w:t>
      </w:r>
    </w:p>
    <w:p>
      <w:pPr>
        <w:spacing w:after="0" w:line="121" w:lineRule="exact"/>
        <w:rPr>
          <w:sz w:val="20"/>
          <w:szCs w:val="20"/>
          <w:color w:val="auto"/>
        </w:rPr>
      </w:pPr>
    </w:p>
    <w:p>
      <w:pPr>
        <w:ind w:right="940" w:firstLine="405"/>
        <w:spacing w:after="0" w:line="282" w:lineRule="auto"/>
        <w:rPr>
          <w:sz w:val="20"/>
          <w:szCs w:val="20"/>
          <w:color w:val="auto"/>
        </w:rPr>
      </w:pPr>
      <w:r>
        <w:rPr>
          <w:rFonts w:ascii="Times New Roman" w:cs="Times New Roman" w:eastAsia="Times New Roman" w:hAnsi="Times New Roman"/>
          <w:sz w:val="18"/>
          <w:szCs w:val="18"/>
          <w:color w:val="auto"/>
        </w:rPr>
        <w:t>Restructuring and impairment charges for the year ended December 31, 2024 consisted primarily of employee termination costs, contract terminations, and impairment loss recognized on long-lived assets held for sale, leasehold improvements, and right-of-use assets.</w:t>
      </w:r>
    </w:p>
    <w:p>
      <w:pPr>
        <w:spacing w:after="0" w:line="13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In January 2023, our Board of Directors approved a restructuring plan, or the 2023 Plan, related to the consolidation of our former ITIL-306 Phase 1 clinical trial and related manufacturing of CoStAR-TIL to our operations in Manchester, UK.</w:t>
      </w:r>
    </w:p>
    <w:p>
      <w:pPr>
        <w:spacing w:after="0" w:line="121" w:lineRule="exact"/>
        <w:rPr>
          <w:sz w:val="20"/>
          <w:szCs w:val="20"/>
          <w:color w:val="auto"/>
        </w:rPr>
      </w:pPr>
    </w:p>
    <w:p>
      <w:pPr>
        <w:jc w:val="both"/>
        <w:ind w:right="40" w:firstLine="405"/>
        <w:spacing w:after="0" w:line="261" w:lineRule="auto"/>
        <w:rPr>
          <w:sz w:val="20"/>
          <w:szCs w:val="20"/>
          <w:color w:val="auto"/>
        </w:rPr>
      </w:pPr>
      <w:r>
        <w:rPr>
          <w:rFonts w:ascii="Times New Roman" w:cs="Times New Roman" w:eastAsia="Times New Roman" w:hAnsi="Times New Roman"/>
          <w:sz w:val="18"/>
          <w:szCs w:val="18"/>
          <w:color w:val="auto"/>
        </w:rPr>
        <w:t>In January 2024, we decided to initiate closure of our UK manufacturing and clinical operations related to our past development of our CoStAR-TIL technology, and in September 2024 we decided to close most of our remaining Manchester, UK operations related to our past development of our CoStAR-TIL technology, which resulted in the elimination of the majority of the remaining UK workforce, with the remaining reduction substantially completed by the end of 2024, which we refer to as the 2024 Plan, and collectively with the 2023 Plan, as the Plan.</w:t>
      </w:r>
    </w:p>
    <w:p>
      <w:pPr>
        <w:spacing w:after="0" w:line="139"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As a result of the Plan, we incurred restructuring and impairment charges of $16.6 million and $7.5 million during the years ended December 31, 2025 and 2024, respectively.</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income consists of interest income from funds held in our cash and cash equivalent accounts and marketable securities.</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expense consists of interest expense on our debt and amortization of loan origination costs.</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Rental Income</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rental income consists of rental income related to the Tarzana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derivative financial instrument fair value gain or loss, foreign exchange remeasurement gain or loss, debt extinguishment loss and other expenses and income.</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8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 are subject to income taxes in the United States and the United Kingdom. The United Kingdom has statutory tax rates that differ from those in the United States. Accordingly, our effective tax rates will vary depending on the relative proportion of United Kingdom to United States income, the availability of research and development tax credits, changes in the valuation of our deferred tax assets and liabilities and changes in tax laws.</w:t>
      </w:r>
    </w:p>
    <w:p>
      <w:pPr>
        <w:spacing w:after="0" w:line="135"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Due to the uncertainty of the business in which we operate, projections of future profitability are difficult and past profitability is not necessarily indicative of future profitability. We maintain full valuation allowance against net deferred tax assets for the United States and the United Kingdom. The valuation allowance has been provided based on the positive and negative evidence relative to our company, including the existence of cumulative net operating losses, or NOLs, since our inception, and the inability to carryback these NOLs to prior periods. Furthermore, we have determined that it is more likely than not that the benefit of these assets would not be realized in the foreseeable future. The timing and the reversal of our valuation allowance will continue to be monitored.</w:t>
      </w:r>
    </w:p>
    <w:p>
      <w:pPr>
        <w:spacing w:after="0" w:line="165"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or OBBBA, was signed into law and included various tax policy changes. OBBBA did not have a material impact on our 2025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24"/>
        </w:trPr>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24"/>
        </w:trPr>
        <w:tc>
          <w:tcPr>
            <w:tcW w:w="926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w w:val="99"/>
              </w:rPr>
              <w:t>The following table summarizes our results of operations for the years ended December 31, 2025 and 2024 (in thousands):</w:t>
            </w: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48"/>
        </w:trPr>
        <w:tc>
          <w:tcPr>
            <w:tcW w:w="5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38"/>
        </w:trPr>
        <w:tc>
          <w:tcPr>
            <w:tcW w:w="5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51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r>
      <w:tr>
        <w:trPr>
          <w:trHeight w:val="24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(16,989)</w:t>
            </w:r>
          </w:p>
        </w:tc>
      </w:tr>
      <w:tr>
        <w:trPr>
          <w:trHeight w:val="27"/>
        </w:trPr>
        <w:tc>
          <w:tcPr>
            <w:tcW w:w="5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w:t>
            </w:r>
          </w:p>
        </w:tc>
      </w:tr>
      <w:tr>
        <w:trPr>
          <w:trHeight w:val="23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78,581</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73,541</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w:t>
            </w:r>
          </w:p>
        </w:tc>
      </w:tr>
      <w:tr>
        <w:trPr>
          <w:trHeight w:val="27"/>
        </w:trPr>
        <w:tc>
          <w:tcPr>
            <w:tcW w:w="5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r>
      <w:tr>
        <w:trPr>
          <w:trHeight w:val="27"/>
        </w:trPr>
        <w:tc>
          <w:tcPr>
            <w:tcW w:w="5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rental income</w:t>
            </w:r>
          </w:p>
        </w:tc>
        <w:tc>
          <w:tcPr>
            <w:tcW w:w="1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r>
      <w:tr>
        <w:trPr>
          <w:trHeight w:val="27"/>
        </w:trPr>
        <w:tc>
          <w:tcPr>
            <w:tcW w:w="5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r>
      <w:tr>
        <w:trPr>
          <w:trHeight w:val="23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Borders>
              <w:top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(71,372)</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(74,135)</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w:t>
            </w:r>
          </w:p>
        </w:tc>
      </w:tr>
      <w:tr>
        <w:trPr>
          <w:trHeight w:val="27"/>
        </w:trPr>
        <w:tc>
          <w:tcPr>
            <w:tcW w:w="51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In-process Research and Development Expenses</w:t>
      </w:r>
    </w:p>
    <w:p>
      <w:pPr>
        <w:spacing w:after="0" w:line="187"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In-process research and development expenses were $10.0 million for each of the years ended December 31, 2025 and 2024, due to a $10.0 million payment to ImmuneOnco for achievement of the IND clearance milestone during the year ended December 31, 2025 and an upfront payment to ImmuneOnco during year ended December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$24.7 million and $11.8 million for the years ended December 31, 2025 and 2024, respectively. The net increase of $12.9 million was primarily due to:</w:t>
      </w:r>
    </w:p>
    <w:p>
      <w:pPr>
        <w:spacing w:after="0" w:line="121" w:lineRule="exact"/>
        <w:rPr>
          <w:sz w:val="20"/>
          <w:szCs w:val="20"/>
          <w:color w:val="auto"/>
        </w:rPr>
      </w:pPr>
    </w:p>
    <w:p>
      <w:pPr>
        <w:ind w:left="1140" w:right="200" w:hanging="646"/>
        <w:spacing w:after="0" w:line="261" w:lineRule="auto"/>
        <w:tabs>
          <w:tab w:leader="none" w:pos="11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 million increase in costs related to research and clinical development activities from our ImmuneOnco collaboration and our AXN-2510 clinical trial; partially offset by</w:t>
      </w:r>
    </w:p>
    <w:p>
      <w:pPr>
        <w:ind w:left="1140" w:right="20" w:hanging="646"/>
        <w:spacing w:after="0" w:line="250" w:lineRule="auto"/>
        <w:tabs>
          <w:tab w:leader="none" w:pos="11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decrease in costs from reduced headcount, consisting primarily of decreases of $2.9 million in wages and benefits, $1.3 million in stock-based compensation expense, and $0.1 million for other employee-related expenses in relation to our research and development personnel; partially offset by a $1.5 million increase in professional services; and</w:t>
      </w:r>
    </w:p>
    <w:p>
      <w:pPr>
        <w:spacing w:after="0" w:line="1" w:lineRule="exact"/>
        <w:rPr>
          <w:rFonts w:ascii="Times New Roman" w:cs="Times New Roman" w:eastAsia="Times New Roman" w:hAnsi="Times New Roman"/>
          <w:sz w:val="18"/>
          <w:szCs w:val="18"/>
          <w:color w:val="auto"/>
        </w:rPr>
      </w:pPr>
    </w:p>
    <w:p>
      <w:pPr>
        <w:ind w:left="1140" w:right="140" w:hanging="646"/>
        <w:spacing w:after="0" w:line="260" w:lineRule="auto"/>
        <w:tabs>
          <w:tab w:leader="none" w:pos="11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decrease in expenses related to facilities, overhead, depreciation, and other expenses due to strategic reductions made in these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shows our research and development expenses by program for the years ended December 31, 2025 and 2024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8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60" w:type="dxa"/>
            <w:vAlign w:val="bottom"/>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660" w:type="dxa"/>
            <w:vAlign w:val="bottom"/>
          </w:tcPr>
          <w:p>
            <w:pPr>
              <w:spacing w:after="0"/>
              <w:rPr>
                <w:sz w:val="20"/>
                <w:szCs w:val="20"/>
                <w:color w:val="auto"/>
              </w:rPr>
            </w:pP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Pr>
          <w:p>
            <w:pPr>
              <w:spacing w:after="0"/>
              <w:rPr>
                <w:sz w:val="20"/>
                <w:szCs w:val="20"/>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AXN-2510/IMM2510</w:t>
            </w:r>
          </w:p>
        </w:tc>
        <w:tc>
          <w:tcPr>
            <w:tcW w:w="150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14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7"/>
        </w:trPr>
        <w:tc>
          <w:tcPr>
            <w:tcW w:w="6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AXN-2510/IMM2510</w:t>
            </w:r>
          </w:p>
        </w:tc>
        <w:tc>
          <w:tcPr>
            <w:tcW w:w="1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7"/>
        </w:trPr>
        <w:tc>
          <w:tcPr>
            <w:tcW w:w="6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Other program expenses </w:t>
            </w:r>
            <w:r>
              <w:rPr>
                <w:rFonts w:ascii="Times New Roman" w:cs="Times New Roman" w:eastAsia="Times New Roman" w:hAnsi="Times New Roman"/>
                <w:sz w:val="23"/>
                <w:szCs w:val="23"/>
                <w:color w:val="auto"/>
                <w:vertAlign w:val="superscript"/>
              </w:rPr>
              <w:t>(1)</w:t>
            </w:r>
          </w:p>
        </w:tc>
        <w:tc>
          <w:tcPr>
            <w:tcW w:w="15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w:t>
            </w: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by program</w:t>
            </w:r>
          </w:p>
        </w:tc>
        <w:tc>
          <w:tcPr>
            <w:tcW w:w="150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24,738</w:t>
            </w:r>
          </w:p>
        </w:tc>
        <w:tc>
          <w:tcPr>
            <w:tcW w:w="100" w:type="dxa"/>
            <w:vAlign w:val="bottom"/>
          </w:tcPr>
          <w:p>
            <w:pPr>
              <w:spacing w:after="0"/>
              <w:rPr>
                <w:sz w:val="20"/>
                <w:szCs w:val="20"/>
                <w:color w:val="auto"/>
              </w:rPr>
            </w:pPr>
          </w:p>
        </w:tc>
        <w:tc>
          <w:tcPr>
            <w:tcW w:w="14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11,838</w:t>
            </w:r>
          </w:p>
        </w:tc>
      </w:tr>
      <w:tr>
        <w:trPr>
          <w:trHeight w:val="27"/>
        </w:trPr>
        <w:tc>
          <w:tcPr>
            <w:tcW w:w="6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8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500" w:type="dxa"/>
            <w:vAlign w:val="bottom"/>
            <w:tcBorders>
              <w:bottom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34,738</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w:t>
      </w:r>
    </w:p>
    <w:p>
      <w:pPr>
        <w:spacing w:after="0" w:line="14" w:lineRule="exact"/>
        <w:rPr>
          <w:sz w:val="20"/>
          <w:szCs w:val="20"/>
          <w:color w:val="auto"/>
        </w:rPr>
      </w:pPr>
    </w:p>
    <w:p>
      <w:pPr>
        <w:ind w:left="440" w:hanging="432"/>
        <w:spacing w:after="0"/>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program expenses consist of costs related to our past development of our CoStAR-TIL technology.</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$27.2 million and $44.2 million for the years ended December 31, 2025 and 2024, respectively. The net decrease of $17.0 million was primarily due to:</w:t>
      </w:r>
    </w:p>
    <w:p>
      <w:pPr>
        <w:spacing w:after="0" w:line="121" w:lineRule="exact"/>
        <w:rPr>
          <w:sz w:val="20"/>
          <w:szCs w:val="20"/>
          <w:color w:val="auto"/>
        </w:rPr>
      </w:pPr>
    </w:p>
    <w:p>
      <w:pPr>
        <w:ind w:left="1140" w:right="480" w:hanging="646"/>
        <w:spacing w:after="0" w:line="261" w:lineRule="auto"/>
        <w:tabs>
          <w:tab w:leader="none" w:pos="11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million decrease in costs resulting from decreases in headcount and personnel related costs, including a decrease in stock-based compensation expense of $7.3 million;</w:t>
      </w:r>
    </w:p>
    <w:p>
      <w:pPr>
        <w:ind w:left="1140" w:hanging="646"/>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million decrease in depreciation, facility costs, and insurance expenses; and</w:t>
      </w:r>
    </w:p>
    <w:p>
      <w:pPr>
        <w:spacing w:after="0" w:line="9" w:lineRule="exact"/>
        <w:rPr>
          <w:rFonts w:ascii="Times New Roman" w:cs="Times New Roman" w:eastAsia="Times New Roman" w:hAnsi="Times New Roman"/>
          <w:sz w:val="18"/>
          <w:szCs w:val="18"/>
          <w:color w:val="auto"/>
        </w:rPr>
      </w:pPr>
    </w:p>
    <w:p>
      <w:pPr>
        <w:ind w:left="1140" w:hanging="646"/>
        <w:spacing w:after="0" w:line="276" w:lineRule="auto"/>
        <w:tabs>
          <w:tab w:leader="none" w:pos="11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decrease in consulting and professional service costs, mainly consisting of decreases in costs of business operations consultants of $2.0 million and information technology and facility consultants of $0.1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Impairment Charges</w:t>
      </w:r>
    </w:p>
    <w:p>
      <w:pPr>
        <w:spacing w:after="0" w:line="187" w:lineRule="exact"/>
        <w:rPr>
          <w:sz w:val="20"/>
          <w:szCs w:val="20"/>
          <w:color w:val="auto"/>
        </w:rPr>
      </w:pPr>
    </w:p>
    <w:p>
      <w:pPr>
        <w:ind w:right="720" w:firstLine="405"/>
        <w:spacing w:after="0" w:line="282" w:lineRule="auto"/>
        <w:rPr>
          <w:sz w:val="20"/>
          <w:szCs w:val="20"/>
          <w:color w:val="auto"/>
        </w:rPr>
      </w:pPr>
      <w:r>
        <w:rPr>
          <w:rFonts w:ascii="Times New Roman" w:cs="Times New Roman" w:eastAsia="Times New Roman" w:hAnsi="Times New Roman"/>
          <w:sz w:val="18"/>
          <w:szCs w:val="18"/>
          <w:color w:val="auto"/>
        </w:rPr>
        <w:t>Restructuring and impairment charges were approximately $16.6 million and $7.5 million for the years ended December 31, 2025 and 2024, respectively. The net increase of approximately $9.1 million was primarily due to:</w:t>
      </w:r>
    </w:p>
    <w:p>
      <w:pPr>
        <w:spacing w:after="0" w:line="135" w:lineRule="exact"/>
        <w:rPr>
          <w:sz w:val="20"/>
          <w:szCs w:val="20"/>
          <w:color w:val="auto"/>
        </w:rPr>
      </w:pPr>
    </w:p>
    <w:p>
      <w:pPr>
        <w:ind w:left="1140" w:hanging="646"/>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 million increase in costs from impairments of assets held for sale, primarily related to an impairment of the Tarzana facility; and</w:t>
      </w:r>
    </w:p>
    <w:p>
      <w:pPr>
        <w:spacing w:after="0" w:line="2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increase in costs resulting from termination of contracts; partially offset by</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decrease in severance payments and benefits continuation costs;</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decrease in costs from impairments of right-of-use assets; and</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decrease in costs from leasehold improvement impairments.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Interest Expense, Other Rental Income and Other Income (Expense), Net</w:t>
      </w:r>
    </w:p>
    <w:p>
      <w:pPr>
        <w:spacing w:after="0" w:line="187"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Interest income, interest expense, other rental income and other income (expense), net was $7.2 million of income and $0.6 million of expense for the years ended December 31, 2025 and 2024, respectively. The increase in income of $7.8 million was primarily due to:</w:t>
      </w:r>
    </w:p>
    <w:p>
      <w:pPr>
        <w:spacing w:after="0" w:line="135" w:lineRule="exact"/>
        <w:rPr>
          <w:sz w:val="20"/>
          <w:szCs w:val="20"/>
          <w:color w:val="auto"/>
        </w:rPr>
      </w:pPr>
    </w:p>
    <w:p>
      <w:pPr>
        <w:ind w:left="1140" w:hanging="646"/>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million increase in rental income related to the Tarzana facility;</w:t>
      </w:r>
    </w:p>
    <w:p>
      <w:pPr>
        <w:spacing w:after="0" w:line="2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million decrease of interest expense from our debt;</w:t>
      </w:r>
    </w:p>
    <w:p>
      <w:pPr>
        <w:spacing w:after="0" w:line="9" w:lineRule="exact"/>
        <w:rPr>
          <w:rFonts w:ascii="Times New Roman" w:cs="Times New Roman" w:eastAsia="Times New Roman" w:hAnsi="Times New Roman"/>
          <w:sz w:val="18"/>
          <w:szCs w:val="18"/>
          <w:color w:val="auto"/>
        </w:rPr>
      </w:pPr>
    </w:p>
    <w:p>
      <w:pPr>
        <w:ind w:left="1140" w:right="1060" w:hanging="646"/>
        <w:spacing w:after="0" w:line="250" w:lineRule="auto"/>
        <w:tabs>
          <w:tab w:leader="none" w:pos="11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decrease in other losses, including change in fair value from terminated derivative financial instruments and debt extinguishment; and</w:t>
      </w:r>
    </w:p>
    <w:p>
      <w:pPr>
        <w:ind w:left="1140" w:hanging="646"/>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increase due to gain on foreign currency transactions; partially offset by</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decrease of interest income related to our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0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we have incurred significant operating losses. We do not have any products that have achieved regulatory marketing approval and we do not expect to generate revenue from commercial sales of any product candidate for at least several years, if ever.</w:t>
      </w:r>
    </w:p>
    <w:p>
      <w:pPr>
        <w:spacing w:after="0" w:line="13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Prior to our initial public offering, or IPO, we funded our operations primarily through the issuance and sale of convertible preferred stock. From our inception through March 2021, prior to our IPO, we raised net cash proceeds of $380.1 million from the issuance and sale of our convertible preferred stock.</w:t>
      </w:r>
    </w:p>
    <w:p>
      <w:pPr>
        <w:spacing w:after="0" w:line="13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 the first quarter of 2021, we raised net proceeds of $339.0 million in our IPO pursuant to which we sold an aggregate of 920,000 shares of common stock.</w:t>
      </w:r>
    </w:p>
    <w:p>
      <w:pPr>
        <w:spacing w:after="0" w:line="135"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In June 2022, our wholly owned subsidiaries, Complex Therapeutics Mezzanine LLC and Complex Therapeutics LLC, entered into a mortgage construction loan and mezzanine construction loan, or together, the Construction Loans, secured by Complex Therapeutics LLC's Tarzana, California land and building. Construction of the Tarzana facility was subsequently completed and in 2024 the facility was leased to AstraZeneca Pharmaceuticals LP, or Tenant. The initial principal amount of the Construction Loans was $52.1 million, with additional future principal of up to $32.9 million to fund then ongoing construction costs. During the year ended December 31, 2024, Complex Therapeutics LLC refinanced the outstanding principal amount under the Construction Loans and we treated it as an extinguishment for accounting purposes. On December 20, 2024, or the Closing Date, Complex Therapeutics LLC entered into a Term Loan Agreement and related loan documents with Midland National Life Insurance Company, or Midland, pursuant to which Midland loaned Complex Therapeutics LLC a term loan in the principal amount of $85.6 million, or the 2024 Loan, to refinance the Construction Loans secured by the Tarzana facility. Substantially all of the 2024 Loan proceeds were used to repay in full the Construction Loans. As of December 31, 2025, the outstanding principal amount under the 2024 Loan was $85.6 million and unamortized debt issuance costs were $0.8 million.</w:t>
      </w:r>
    </w:p>
    <w:p>
      <w:pPr>
        <w:spacing w:after="0" w:line="154"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The 2024 Loan may be prepaid in whole but not in part. If the 2024 Loan is prepaid on or prior to the 12-month anniversary of the Closing Date, a prepayment fee would have been required (other than in connection with a casualty or condemnation event) to make Midland whole for the interest it would have otherwise earned on the 2024 Loan during the first 12 months of the 2024 Loan. There is no prepayment fee due if the 2024 Loan is prepaid after the 12-month anniversary of the Closing Date.</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2024 Loan has a term of two years with a one-year extension option. The extension option is subject to certain conditions being met, including:</w:t>
      </w:r>
    </w:p>
    <w:p>
      <w:pPr>
        <w:spacing w:after="0" w:line="27" w:lineRule="exact"/>
        <w:rPr>
          <w:sz w:val="20"/>
          <w:szCs w:val="20"/>
          <w:color w:val="auto"/>
        </w:rPr>
      </w:pPr>
    </w:p>
    <w:p>
      <w:pPr>
        <w:ind w:right="140" w:firstLine="8"/>
        <w:spacing w:after="0" w:line="252" w:lineRule="auto"/>
        <w:tabs>
          <w:tab w:leader="none" w:pos="24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potential default or event of default, (b) payment of a 0.35% extension fee and the costs and expenses of Midland incurred in connection with the extension, (c) replenishing of all reserve funds as reasonably determined by Midland, and (d) compliance with minimum debt yield and debt service coverage ratio requirements. The 2024 Loan bears interest at a fixed rate of 6.35% per annum, with interest-only payments during the term of the 2024 Loan and the principal balance due in full at maturity. We expect Complex Therapeutics LLC to meet all requirements necessary to exercise the extension to extend the maturity by one year to January 2028. We expect that written notice to extend the loan will be provided as early as the 2024 Loan permits, which is no sooner than one hundred twenty days from its maturity date and no later than thirty days before its maturity date.</w:t>
      </w:r>
    </w:p>
    <w:p>
      <w:pPr>
        <w:spacing w:after="0" w:line="163"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On November 13, 2024, we filed a shelf registration statement on Form S-3 with the SEC, which the SEC declared effective on November 21, 2024. Pursuant to our shelf registration statement we may, from time to time, sell up to an aggregate of $200 million of our common stock, preferred stock, debt securities or warrants.</w:t>
      </w:r>
    </w:p>
    <w:p>
      <w:pPr>
        <w:spacing w:after="0" w:line="132" w:lineRule="exact"/>
        <w:rPr>
          <w:sz w:val="20"/>
          <w:szCs w:val="20"/>
          <w:color w:val="auto"/>
        </w:rPr>
      </w:pPr>
    </w:p>
    <w:p>
      <w:pPr>
        <w:ind w:right="160" w:firstLine="405"/>
        <w:spacing w:after="0" w:line="236" w:lineRule="auto"/>
        <w:rPr>
          <w:sz w:val="20"/>
          <w:szCs w:val="20"/>
          <w:color w:val="auto"/>
        </w:rPr>
      </w:pPr>
      <w:r>
        <w:rPr>
          <w:rFonts w:ascii="Times New Roman" w:cs="Times New Roman" w:eastAsia="Times New Roman" w:hAnsi="Times New Roman"/>
          <w:sz w:val="18"/>
          <w:szCs w:val="18"/>
          <w:color w:val="auto"/>
        </w:rPr>
        <w:t>In March 2025, we entered into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with Jefferies LLC, or Jefferies, as sales agent, under which we may offer and sell, from time to time, shares of our common stock through Jefferies, with an aggregate offering price of up to $100 million by methods deemed to be an “at the market offering,” or the ATM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880110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53"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2025, we had sold an aggregate of 185,837 shares of our common stock under the ATM Program for net proceeds of $6.6 million after deducting commissions and expenses of approximately $0.3 million. The remaining availability under the ATM Program as of December 31, 2025 was approximately $93.1 million.</w:t>
      </w:r>
    </w:p>
    <w:p>
      <w:pPr>
        <w:spacing w:after="0" w:line="149"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2025, we had cash, cash equivalents, restricted cash and marketable securities of $76.3 million, which consisted of $6.6 million in cash and cash equivalents, $0.2 million in restricted cash and $69.5 million in marketable securities. Cash in excess of immediate requirements is invested in accordance with our investment policy, primarily with a view to liquidity and capital preservation.</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Based on our current operating plan, we believe our existing cash, cash equivalents, restricted cash and marketable securities will be sufficient to fund our operating expenses and capital expenditure requirements beyond 2027.</w:t>
      </w:r>
    </w:p>
    <w:p>
      <w:pPr>
        <w:spacing w:after="0" w:line="135" w:lineRule="exact"/>
        <w:rPr>
          <w:sz w:val="20"/>
          <w:szCs w:val="20"/>
          <w:color w:val="auto"/>
        </w:rPr>
      </w:pPr>
    </w:p>
    <w:p>
      <w:pPr>
        <w:jc w:val="both"/>
        <w:ind w:right="140" w:firstLine="405"/>
        <w:spacing w:after="0" w:line="257"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We evaluated our ability to continue as a going concern for the twelve months following the issuance of the consolidated financial statements. As disclosed and defined in Note 8, the 2024 Loan is due in January 2027, for total principal of</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$85.6 million which is in excess of cash, cash equivalents, and marketable securities on hand as of December 31, 2025, which we concluded is an indicator of substantial doubt about our ability to continue as a going concern.</w:t>
      </w:r>
    </w:p>
    <w:p>
      <w:pPr>
        <w:spacing w:after="0" w:line="127" w:lineRule="exact"/>
        <w:rPr>
          <w:sz w:val="20"/>
          <w:szCs w:val="20"/>
          <w:color w:val="auto"/>
        </w:rPr>
      </w:pPr>
    </w:p>
    <w:p>
      <w:pPr>
        <w:ind w:firstLine="405"/>
        <w:spacing w:after="0" w:line="241" w:lineRule="auto"/>
        <w:rPr>
          <w:sz w:val="20"/>
          <w:szCs w:val="20"/>
          <w:color w:val="auto"/>
        </w:rPr>
      </w:pPr>
      <w:r>
        <w:rPr>
          <w:rFonts w:ascii="Times New Roman" w:cs="Times New Roman" w:eastAsia="Times New Roman" w:hAnsi="Times New Roman"/>
          <w:sz w:val="18"/>
          <w:szCs w:val="18"/>
          <w:color w:val="auto"/>
        </w:rPr>
        <w:t>If we are unable to refinance the 2024 Loan prior to maturity, we plan to execute our contractual right to extend the maturity of the 2024 Loan to January 2028. In addition to our plan to exercise the extension option in the 2024 Loan, we may seek to refinance or restructure the 2024 Loan including by extending its maturity date beyond the extended date, sell the building to repay the 2024 Loan, or seek additional financing in the form of equity or debt instruments. There can be no assurance that new financing or other forms of funding will be available on favorable terms or at all. We concluded that our contractual right to exercise the extension option to January 2028 is solely within our control and alleviates the conditions that raise substantial doubt about our ability to continue as a going concern.</w:t>
      </w:r>
    </w:p>
    <w:p>
      <w:pPr>
        <w:spacing w:after="0" w:line="22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use our cash to fund operations, primarily to fund our business development, research and development expenditures and related personnel costs. We expect our expenses to continue to be significant as we invest in research and development activities, particularly if we in-license or acquire product candidates, advance one or more product candidates into later stages of development and conduct clinical trials, seek regulatory approvals for and commercialize any product candidates that successfully complete clinical trials, hire personnel and invest in and grow our business, expand and protect our intellectual property portfolio, and operate as a public company. Because of the numerous risks and uncertainties associated with acquiring product candidates, and the research, development and commercialization of product candidates, we are unable to estimate the exact timing and amount of our funding requirements. Our future operating expenditures will depend on many factors, including:</w:t>
      </w:r>
    </w:p>
    <w:p>
      <w:pPr>
        <w:spacing w:after="0" w:line="148" w:lineRule="exact"/>
        <w:rPr>
          <w:sz w:val="20"/>
          <w:szCs w:val="20"/>
          <w:color w:val="auto"/>
        </w:rPr>
      </w:pPr>
    </w:p>
    <w:p>
      <w:pPr>
        <w:ind w:left="1140" w:hanging="646"/>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companies’ product candidates and technologies;</w:t>
      </w:r>
    </w:p>
    <w:p>
      <w:pPr>
        <w:spacing w:after="0" w:line="2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costs and results of future clinical and preclinical development activities;</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any product candidates, and the number of trials required for regulatory approval;</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any product candidates, as well as any products we successfully commercialize;</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of any product candidates, if approved for sale, including marketing, sales and distribution costs;</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any product candidates, if approved;</w:t>
      </w:r>
    </w:p>
    <w:p>
      <w:pPr>
        <w:spacing w:after="0" w:line="9" w:lineRule="exact"/>
        <w:rPr>
          <w:rFonts w:ascii="Times New Roman" w:cs="Times New Roman" w:eastAsia="Times New Roman" w:hAnsi="Times New Roman"/>
          <w:sz w:val="18"/>
          <w:szCs w:val="18"/>
          <w:color w:val="auto"/>
        </w:rPr>
      </w:pPr>
    </w:p>
    <w:p>
      <w:pPr>
        <w:ind w:left="1140" w:right="720" w:hanging="646"/>
        <w:spacing w:after="0" w:line="250" w:lineRule="auto"/>
        <w:tabs>
          <w:tab w:leader="none" w:pos="11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any such arrangements, including the timing and amount of any future milestone, royalty or other payments due under any such agreement;</w:t>
      </w:r>
    </w:p>
    <w:p>
      <w:pPr>
        <w:ind w:left="1140" w:hanging="646"/>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or claims;</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hire and retain skilled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ind w:left="1140" w:hanging="646"/>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our operational, financial and management information systems;</w:t>
      </w:r>
    </w:p>
    <w:p>
      <w:pPr>
        <w:spacing w:after="0" w:line="2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operating as a public company;</w:t>
      </w:r>
    </w:p>
    <w:p>
      <w:pPr>
        <w:spacing w:after="0" w:line="9" w:lineRule="exact"/>
        <w:rPr>
          <w:rFonts w:ascii="Times New Roman" w:cs="Times New Roman" w:eastAsia="Times New Roman" w:hAnsi="Times New Roman"/>
          <w:sz w:val="18"/>
          <w:szCs w:val="18"/>
          <w:color w:val="auto"/>
        </w:rPr>
      </w:pPr>
    </w:p>
    <w:p>
      <w:pPr>
        <w:ind w:left="1140" w:right="580" w:hanging="646"/>
        <w:spacing w:after="0" w:line="250" w:lineRule="auto"/>
        <w:tabs>
          <w:tab w:leader="none" w:pos="11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any intellectual property portfolio we may acquire;</w:t>
      </w:r>
    </w:p>
    <w:p>
      <w:pPr>
        <w:ind w:left="1140" w:hanging="646"/>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Tarzana facility; and</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issues resulting from the impact of adverse geopolitical and economic conditions.</w:t>
      </w:r>
    </w:p>
    <w:p>
      <w:pPr>
        <w:spacing w:after="0" w:line="180"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Until we can generate substantial revenue from sales of a product candidate, if that occurs, we plan to fund our operations through equity offerings, debt financings, leasing income, or other capital sources. This may include strategic collaborations or other arrangements with third parties. Additional funds may not be available to us on acceptable terms or at all. If we raise additional funds by issuing equity or convertible debt securities, our stockholders will suffer dilution, and the terms of these securities may include liquidation or other preferences that adversely affect the rights of our common stockholders. Debt financing, if available, may involve restrictive covenants limiting our flexibility in conducting future business activities, and, in the event of insolvency, debt holders would be repaid before holders of our equity securities receive any distribution of our corporate assets. If we raise funds through collaborations or other similar arrangements with third parties, we may have to relinquish valuable rights to technologies, future revenue streams, product candidates or research programs or grant licenses on terms that may not be favorable to us and/or may reduce the value of our common stock. Our ability to raise additional funds may be adversely impacted by worsening global economic conditions and the recent disruptions to, and volatility in, the credit and financial markets in the United States and worldwide resulting from, among other things, heightened inflation, fluctuations in interest rates, military conflicts, including in Ukraine and the Middle East, tariffs and recent and potential trade wars. If we fail to obtain necessary capital when needed on acceptable terms, or at all, it could force us to delay, limit, reduce or terminate our product development programs, commercialization efforts or other operations. See “Risk Factors.”</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significant sources and uses of cash for the periods set forth below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6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Pr>
          <w:p>
            <w:pPr>
              <w:spacing w:after="0"/>
              <w:rPr>
                <w:sz w:val="20"/>
                <w:szCs w:val="20"/>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4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40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(36,619)</w:t>
            </w:r>
          </w:p>
        </w:tc>
        <w:tc>
          <w:tcPr>
            <w:tcW w:w="100" w:type="dxa"/>
            <w:vAlign w:val="bottom"/>
          </w:tcPr>
          <w:p>
            <w:pPr>
              <w:spacing w:after="0"/>
              <w:rPr>
                <w:sz w:val="21"/>
                <w:szCs w:val="21"/>
                <w:color w:val="auto"/>
              </w:rPr>
            </w:pP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(55,696)</w:t>
            </w:r>
          </w:p>
        </w:tc>
      </w:tr>
      <w:tr>
        <w:trPr>
          <w:trHeight w:val="27"/>
        </w:trPr>
        <w:tc>
          <w:tcPr>
            <w:tcW w:w="6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1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53,974</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7"/>
        </w:trPr>
        <w:tc>
          <w:tcPr>
            <w:tcW w:w="67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9"/>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400" w:type="dxa"/>
            <w:vAlign w:val="bottom"/>
            <w:tcBorders>
              <w:bottom w:val="single" w:sz="8" w:color="CCEEFF"/>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8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2025 was $36.6 million, which consisted of the net loss of $71.4 million and a $0.6 million net change to our net operating assets and liabilities, partially offset by $35.4 million in non-cash charges and other adjustments to reconcile net loss to net cash used in operating activities. The net change in our operating assets and liabilities was primarily due to an increase of $3.4 million in accrued rent receivable, a decrease of $2.3 million in accrued expenses and other current liabilities, a decrease of $1.4 million in operating lease liabilities, and a decrease of $0.1 million in long-term liabilities partially offset by a decrease of $6.1 million in prepaid expenses and other current assets, a decrease of $0.4 million in other long-term assets, and an increase of $0.1 million in accounts payable. The non-cash charges primarily consisted of impairment of property, plant and equipment of $16.6 million, in-process research and development expenses of $10.0 million, stock-based compensation of $8.7 million, non-cash interest expense of $0.8 million, depreciation expense of $0.5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995045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8" w:name="page79"/>
    <w:bookmarkEnd w:id="78"/>
    <w:p>
      <w:pPr>
        <w:ind w:right="500"/>
        <w:spacing w:after="0" w:line="282" w:lineRule="auto"/>
        <w:rPr>
          <w:sz w:val="20"/>
          <w:szCs w:val="20"/>
          <w:color w:val="auto"/>
        </w:rPr>
      </w:pPr>
      <w:r>
        <w:rPr>
          <w:rFonts w:ascii="Times New Roman" w:cs="Times New Roman" w:eastAsia="Times New Roman" w:hAnsi="Times New Roman"/>
          <w:sz w:val="18"/>
          <w:szCs w:val="18"/>
          <w:color w:val="auto"/>
        </w:rPr>
        <w:t>million, and non-cash lease expenses of $0.2 million; partially offset by a decrease in the fair value of contingent consideration of $0.9 million, and a change in foreign exchange remeasurement of $0.5 million.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Cash used in operating activities for the year ended December 31, 2024 was $55.7 million, which consisted of the net loss of $74.1 million and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$12.6 million net change to our net operating assets and liabilities, partially offset by $31.0 million in non-cash charges and other adjustments to reconcile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to net cash used in operating activities. The net change in our operating assets and liabilities was primarily due to a decrease of $1.9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accrued restructuring costs, and other current liabilities, a decrease of $1.4 million in operating lease liabilities, a decrease of $0.6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accounts payable, an increase of $0.2 million in prepaid expenses and other current assets, an increase of $4.2 million in accrued rent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 increase of $4.4 million in other long-term assets. The non-cash charges primarily consisted of stock-based compensation of $17.3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 research and development expenses of $10.0 million, impairment of property, plant and equipment of $4.3 million, impairment of right-of-use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of $0.8 million and depreciation expense of $3.6 million, offset by accretion on invested securities of $4.3 million and decrease in the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consideration $3.9 million.</w:t>
      </w: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87"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for the year ended December 31, 2025 was $25.5 million, consisting primarily of $35.0 million of cash provided by marketable securities investments and $0.4 million of cash received from asset disposals, offset by $10.0 million of acquired in-process research and development.</w:t>
      </w:r>
    </w:p>
    <w:p>
      <w:pPr>
        <w:spacing w:after="0" w:line="13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for the year ended December 31, 2024 was $54.0 million, consisting primarily of $64.1 million of cash provided by marketable securities investments, $0.9 million of cash received from asset disposals and $0.6 million of cash received from termination of derivative financial instruments, offset by $10.0 million of acquired in-process research and development and $1.6 million from the renewal of our derivative financial instrument.</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8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2025 was $7.3 million, which primarily consisted of net proceeds from our ATM Program of $6.6 million and net proceeds from the exercise of stock options of $0.9 million, partially offset by closing costs related to the 2024 Loan of $0.2 million.</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2024 was $1.8 million, which was primarily related to net cash proceeds from the 2024 Loan of $85.6 million and proceeds from the exercise of stock options of $0.4 million, partially offset by principal repayments of our Construction Loans of $82.8 million and closing costs related to the 2024 Loan of $1.4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2025, the outstanding principal amount under the 2024 Loan was $85.6 million and unamortized debt issuance costs were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million. The 2024 Loan matures on January 10, 2027, or the scheduled maturity date, and includes a one year extension option. Notice to exercise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 may be provided no earlier than one hundred twenty days and no later than thirty days prior to the scheduled maturity date. We expect Complex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Therapeutics LLC to meet all requirements necessary to exercise the extension.</w:t>
      </w:r>
    </w:p>
    <w:p>
      <w:pPr>
        <w:spacing w:after="0" w:line="166"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2025, we had non-cancelable purchase commitments of approximately $0.2 million consisting mainly of operating commitments. Additionally, future minimum lease payments under noncancellable operating leases as of December 31, 2025 totaled $0.4 million, as discussed in Note 8 to the consolidated financial statements included elsewhere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9" w:name="page80"/>
    <w:bookmarkEnd w:id="79"/>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On January 5, 2026, Axion Bio and ImmuneOnco entered into an agreement terminating the IO Collaboration Agreement. Under the termination agreement Axion Bio agreed to transfer its rights, title and interest related to AXN-2510 and AXN-27M to ImmuneOnco, and ImmuneOnco agreed to pay Axion Bio $1.8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consolidated financial statements, which have been prepared in accordance with GAAP. The preparation of the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the notes to our consolidated financial statements included elsewhere in this Annual Report, we believe that the accounting policies discussed below are most critical to understanding and evaluating our historical and expected future performance.</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We maintain a stock-based compensation plan as a long-term incentive for employees, directors and consultants. The plan allows for the issuance of stock options, stock appreciation rights and restricted stock units.</w:t>
      </w:r>
    </w:p>
    <w:p>
      <w:pPr>
        <w:spacing w:after="0" w:line="13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stock-based awards with only service conditions, we recognize stock-based compensation expense for stock-based awards on a straight-line basis over the requisite service period and account for forfeitures as they occur. For stock-based awards with performance conditions, stock-based compensation expense is not recognized until the performance condition is probable to occur. Our stock-based compensation costs are based upon the grant date fair value estimated using the Black-Scholes option pricing model. This model utilizes inputs that are highly subjective assumptions and generally require significant judgment. These assumptions include:</w:t>
      </w:r>
    </w:p>
    <w:p>
      <w:pPr>
        <w:spacing w:after="0" w:line="143" w:lineRule="exact"/>
        <w:rPr>
          <w:sz w:val="20"/>
          <w:szCs w:val="20"/>
          <w:color w:val="auto"/>
        </w:rPr>
      </w:pPr>
    </w:p>
    <w:p>
      <w:pPr>
        <w:ind w:left="1140" w:right="120" w:hanging="646"/>
        <w:spacing w:after="0" w:line="254" w:lineRule="auto"/>
        <w:tabs>
          <w:tab w:leader="none" w:pos="11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Stock—Prior to our IPO in March 2021, the fair value of the shares of common stock underlying stock options had historically been determined by the Board of Directors. Because there has been no public market for the our common stock, the Board of Directors has determined fair value of the common stock at the time of grant of the option by considering a number of objective and subjective factors including important developments in our operations, contemporaneous valuations performed by an independent third party firm, sales of our convertible preferred stock, our operating results and financial performance, the conditions in the biotechnology industry and the economy in general, the stock price volatility of similar public companies and the lack of marketability of our common stock, among other factors. After our IPO in March 2021, the fair value of common stock is determined using the closing price of our common stock on the Nasdaq Stock Market.</w:t>
      </w:r>
    </w:p>
    <w:p>
      <w:pPr>
        <w:spacing w:after="0" w:line="83" w:lineRule="exact"/>
        <w:rPr>
          <w:rFonts w:ascii="Times New Roman" w:cs="Times New Roman" w:eastAsia="Times New Roman" w:hAnsi="Times New Roman"/>
          <w:sz w:val="18"/>
          <w:szCs w:val="18"/>
          <w:color w:val="auto"/>
        </w:rPr>
      </w:pPr>
    </w:p>
    <w:p>
      <w:pPr>
        <w:ind w:left="1140" w:right="160" w:hanging="646"/>
        <w:spacing w:after="0" w:line="282" w:lineRule="auto"/>
        <w:tabs>
          <w:tab w:leader="none" w:pos="11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Term—The expected term represents the period that stock-based awards are expected to be outstanding and is determined as the average of the time-to-vesting and the contractual life of the awards.</w:t>
      </w:r>
    </w:p>
    <w:p>
      <w:pPr>
        <w:spacing w:after="0" w:line="53" w:lineRule="exact"/>
        <w:rPr>
          <w:rFonts w:ascii="Times New Roman" w:cs="Times New Roman" w:eastAsia="Times New Roman" w:hAnsi="Times New Roman"/>
          <w:sz w:val="18"/>
          <w:szCs w:val="18"/>
          <w:color w:val="auto"/>
        </w:rPr>
      </w:pPr>
    </w:p>
    <w:p>
      <w:pPr>
        <w:jc w:val="both"/>
        <w:ind w:left="1140" w:right="100" w:hanging="646"/>
        <w:spacing w:after="0" w:line="266" w:lineRule="auto"/>
        <w:tabs>
          <w:tab w:leader="none" w:pos="11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Volatility—Since we do not have sufficient trading history for our common stock, the expected volatility was estimated based on the average volatility for comparable publicly traded biotechnology companies over a period equal to the expected term of the stock option grants. The comparable companies were chosen based on their similar size, stage in the life cycle or area of specialty.</w:t>
      </w:r>
    </w:p>
    <w:p>
      <w:pPr>
        <w:spacing w:after="0" w:line="67" w:lineRule="exact"/>
        <w:rPr>
          <w:rFonts w:ascii="Times New Roman" w:cs="Times New Roman" w:eastAsia="Times New Roman" w:hAnsi="Times New Roman"/>
          <w:sz w:val="18"/>
          <w:szCs w:val="18"/>
          <w:color w:val="auto"/>
        </w:rPr>
      </w:pPr>
    </w:p>
    <w:p>
      <w:pPr>
        <w:ind w:left="1140" w:right="560" w:hanging="646"/>
        <w:spacing w:after="0" w:line="282" w:lineRule="auto"/>
        <w:tabs>
          <w:tab w:leader="none" w:pos="11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risk-free interest rate is based on the U.S. Treasury zero coupon issues in effect at the time of grant for periods corresponding with the expected term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924560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0" w:name="page81"/>
    <w:bookmarkEnd w:id="80"/>
    <w:p>
      <w:pPr>
        <w:ind w:left="1140" w:right="100" w:hanging="646"/>
        <w:spacing w:after="0" w:line="282" w:lineRule="auto"/>
        <w:tabs>
          <w:tab w:leader="none" w:pos="11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Yield—We have never paid dividends on our common stock and have no plans to pay dividends on our common stock. Therefore, we used an expected dividend yield of zero.</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Assets Held for Sale</w:t>
      </w:r>
    </w:p>
    <w:p>
      <w:pPr>
        <w:spacing w:after="0" w:line="20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classify long-lived assets or disposal groups to be sold as held for sale in the period in which all of the following criteria are met: management, having the authority to approve the action, commits to a plan to sell the asset or disposal group; the asset or disposal group is available for immediate sale in its present condition subject only to terms that are usual and customary for sales of such assets or disposal group; the sale of the asset or disposal group is probable, and transfer of the asset or disposal group is expected to qualify for recognition as a completed sale within one year, except if events or circumstances beyond our control extend the period of time required to sell the asset or disposal group beyond one year; the asset or disposal group is being actively marketed for sale at a price that is reasonable in relation to its current fair value; and actions required to complete the plan to sell have been initiated.</w:t>
      </w:r>
    </w:p>
    <w:p>
      <w:pPr>
        <w:spacing w:after="0" w:line="148"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We initially measure a long-lived asset or disposal group that is held for sale at the lower of its carrying value or fair value less any costs to sell. Fair value is estimated by us through evaluations of quoted market prices received for other comparable held for sale assets sold by us. Any loss resulting from this measurement is recognized in the period in which the held for sale criteria are met. Conversely, gains are not recognized on the sale of a long-lived asset or disposal group until the date of sale. We assess the fair value of a long-lived asset or disposal group less any costs to sell each reporting period it remains classified as held for sale and report any subsequent changes as an adjustment to the carrying value of the asset or disposal group, as long as the new carrying value does not exceed the carrying value of the asset at the time it was initially classified as held for sale. Upon determining that a long-lived asset or disposal group meets the criteria to be classified as held for sale, we cease depreciation and report long-lived assets in the line item “assets held for sale” in the consolidated balance sheets.</w:t>
      </w:r>
    </w:p>
    <w:p>
      <w:pPr>
        <w:spacing w:after="0" w:line="151"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we determined there were indicators of impairment on the Tarzana facility listed as held for sale. As a result, we performed recoverability tests on the asset group and concluded the asset's fair value less cost to sell was less than the carrying amount. We estimate the fair value of our building through a combination of income-based and market-based approach. The income-based approach is dependent on specific assumptions such as market rental rates, capitalization rates and discount rates. The market-based approach utilizes observable data, such as comparable building sales and occupancy rates. The costs to sell were determined by estimated legal, tax, and real estate broker fees. The fair value less cost to sell of our building was determined to be $112.1 million, compared to the carrying value of $128.7 million at the time of held for sale classification. This led to an impairment of approximately $16.6 million recognized in the consolidated statements of operations and comprehensive loss in the line item “restructuring and impairment charges.” The fair value of these assets are classified within Level 2 of the fair value hierarchy.</w:t>
      </w:r>
    </w:p>
    <w:p>
      <w:pPr>
        <w:spacing w:after="0" w:line="165"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recorded non-cash impairment charges for assets held for sale related to impairment of our Manchester, United Kingdom manufacturing equipment of $4.3 million recognized in the consolidated statements of operations and comprehensive loss in the line item “restructuring and impairment charges.”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 to Notes 2 and 13 to the consolidated financial statements included elsewhere in this Annual Report on Form 10-K.</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0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review our long-lived assets for impairment whenever events or changes in circumstances indicate that the carrying amount of an asset may not be recoverable or that the useful life is shorter than originally estimated. Recoverability of assets is measured by comparing the carrying amount of an asset to future undiscounted net cash flows expected to be generated by the asset over its remaining useful life. If such assets are impaired, the impairment recognized is measured by the amount by which the carrying amount of the assets exceeds the fair value of the assets. If the useful life is shorter than originally estimated, we depreciate or amortize the remaining carrying value over the revised shorter useful life. Assets to be disposed of by sale are reflected at the lower of their carrying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983615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1" w:name="page82"/>
    <w:bookmarkEnd w:id="81"/>
    <w:p>
      <w:pPr>
        <w:ind w:right="100"/>
        <w:spacing w:after="0" w:line="261" w:lineRule="auto"/>
        <w:rPr>
          <w:sz w:val="20"/>
          <w:szCs w:val="20"/>
          <w:color w:val="auto"/>
        </w:rPr>
      </w:pPr>
      <w:r>
        <w:rPr>
          <w:rFonts w:ascii="Times New Roman" w:cs="Times New Roman" w:eastAsia="Times New Roman" w:hAnsi="Times New Roman"/>
          <w:sz w:val="18"/>
          <w:szCs w:val="18"/>
          <w:color w:val="auto"/>
        </w:rPr>
        <w:t>amount or fair value less cost to sell. To date, we have recorded impairment losses on long-lived assets associated with a sustained decrease in our stock price and our prior strategic prioritization of our preclinical and clinical development programs. We recognized a non-cash impairment charge related to leasehold improvements of nil and $0.3 million during 2025 and 2024, respectively. The impairment charges were recorded in the consolidated statements of operations and comprehensive loss in the line item “restructuring and impairment charges.”</w:t>
      </w:r>
    </w:p>
    <w:p>
      <w:pPr>
        <w:spacing w:after="0" w:line="139"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As discussed above, during the year ended December 31, 2025 we recorded impairment of approximately $16.6 million on the Tarzana facility recognized in the consolidated statements of operations and comprehensive loss in the line item “restructuring and impairment charges.”</w:t>
      </w:r>
    </w:p>
    <w:p>
      <w:pPr>
        <w:spacing w:after="0" w:line="13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recorded non-cash impairment charges for assets held for sale related to impairment of our Manchester, United Kingdom manufacturing equipment of $4.3 million recognized in the consolidated statements of operations and comprehensive loss in the line item “restructuring and impairment charges.”</w:t>
      </w:r>
    </w:p>
    <w:p>
      <w:pPr>
        <w:spacing w:after="0" w:line="135" w:lineRule="exact"/>
        <w:rPr>
          <w:sz w:val="20"/>
          <w:szCs w:val="20"/>
          <w:color w:val="auto"/>
        </w:rPr>
      </w:pPr>
    </w:p>
    <w:p>
      <w:pPr>
        <w:ind w:right="820" w:firstLine="405"/>
        <w:spacing w:after="0" w:line="461" w:lineRule="auto"/>
        <w:rPr>
          <w:sz w:val="20"/>
          <w:szCs w:val="20"/>
          <w:color w:val="auto"/>
        </w:rPr>
      </w:pPr>
      <w:r>
        <w:rPr>
          <w:rFonts w:ascii="Times New Roman" w:cs="Times New Roman" w:eastAsia="Times New Roman" w:hAnsi="Times New Roman"/>
          <w:sz w:val="18"/>
          <w:szCs w:val="18"/>
          <w:color w:val="auto"/>
        </w:rPr>
        <w:t xml:space="preserve">See Notes 2 and 13 to the consolidated financial statements included elsewhere in this Annual Report on Form 10-K for more information. </w:t>
      </w:r>
      <w:r>
        <w:rPr>
          <w:rFonts w:ascii="Times New Roman" w:cs="Times New Roman" w:eastAsia="Times New Roman" w:hAnsi="Times New Roman"/>
          <w:sz w:val="18"/>
          <w:szCs w:val="18"/>
          <w:b w:val="1"/>
          <w:bCs w:val="1"/>
          <w:color w:val="auto"/>
        </w:rPr>
        <w:t>Recent Accounting Pronouncements</w:t>
      </w:r>
    </w:p>
    <w:p>
      <w:pPr>
        <w:spacing w:after="0" w:line="1"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Information regarding recent accounting pronouncements applicable to us is included in Note 2 to the consolidated financial statements included elsewhere in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 and Smaller Reporting Company Status</w:t>
      </w:r>
    </w:p>
    <w:p>
      <w:pPr>
        <w:spacing w:after="0" w:line="18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 of the Sarbanes-Oxley Act of 2002, reduced disclosure obligations regarding executive compensation in our periodic reports and proxy statements and exemptions from the requirements of holding a nonbinding advisory vote on executive compensation and any golden parachute payments not previously approved. Accordingly, the information contained herein may be different than the information you receive from other public companies in which you hold stock.</w:t>
      </w:r>
    </w:p>
    <w:p>
      <w:pPr>
        <w:spacing w:after="0" w:line="16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addition, emerging growth companies can delay adopting new or revised accounting standards issued subsequent to the enactment of the JOBS Act until such time as those standards apply to private companies. We have elected to avail ourselves of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4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43"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Rule 12b-2 under the Exchange Act. We may continue to be a smaller reporting company if either (i) the market value of our shares held by non-affiliates is less than $250.0 million or (ii) our annual revenue was less than $100.0 million during the most recently completed fiscal year and the market value of our shares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2" w:name="page83"/>
    <w:bookmarkEnd w:id="82"/>
    <w:p>
      <w:pPr>
        <w:spacing w:after="0" w:line="282" w:lineRule="auto"/>
        <w:rPr>
          <w:sz w:val="20"/>
          <w:szCs w:val="20"/>
          <w:color w:val="auto"/>
        </w:rPr>
      </w:pPr>
      <w:r>
        <w:rPr>
          <w:rFonts w:ascii="Times New Roman" w:cs="Times New Roman" w:eastAsia="Times New Roman" w:hAnsi="Times New Roman"/>
          <w:sz w:val="18"/>
          <w:szCs w:val="18"/>
          <w:color w:val="auto"/>
        </w:rPr>
        <w:t>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9"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Item 10 of Regulation S-K and are not required to provide the information otherwise required under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417" w:right="6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INSTIL BIO,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160" w:type="dxa"/>
            <w:vAlign w:val="bottom"/>
            <w:gridSpan w:val="2"/>
          </w:tcPr>
          <w:p>
            <w:pPr>
              <w:spacing w:after="0"/>
              <w:rPr>
                <w:sz w:val="17"/>
                <w:szCs w:val="17"/>
                <w:color w:val="auto"/>
              </w:rPr>
            </w:pPr>
          </w:p>
        </w:tc>
      </w:tr>
      <w:tr>
        <w:trPr>
          <w:trHeight w:val="250"/>
        </w:trPr>
        <w:tc>
          <w:tcPr>
            <w:tcW w:w="240" w:type="dxa"/>
            <w:vAlign w:val="bottom"/>
          </w:tcPr>
          <w:p>
            <w:pPr>
              <w:spacing w:after="0"/>
              <w:rPr>
                <w:sz w:val="21"/>
                <w:szCs w:val="21"/>
                <w:color w:val="auto"/>
              </w:rPr>
            </w:pP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2025 and 2024</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2025 and 2024</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71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2025 and 2024</w:t>
            </w:r>
          </w:p>
        </w:tc>
        <w:tc>
          <w:tcPr>
            <w:tcW w:w="1120" w:type="dxa"/>
            <w:vAlign w:val="bottom"/>
            <w:tcBorders>
              <w:top w:val="single" w:sz="8" w:color="0000FF"/>
            </w:tcBorders>
          </w:tcPr>
          <w:p>
            <w:pPr>
              <w:spacing w:after="0"/>
              <w:rPr>
                <w:sz w:val="21"/>
                <w:szCs w:val="21"/>
                <w:color w:val="auto"/>
              </w:rPr>
            </w:pPr>
          </w:p>
        </w:tc>
        <w:tc>
          <w:tcPr>
            <w:tcW w:w="110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70"/>
              </w:rPr>
              <w:t>86</w:t>
            </w:r>
          </w:p>
        </w:tc>
        <w:tc>
          <w:tcPr>
            <w:tcW w:w="20" w:type="dxa"/>
            <w:vAlign w:val="bottom"/>
          </w:tcPr>
          <w:p>
            <w:pPr>
              <w:spacing w:after="0"/>
              <w:rPr>
                <w:sz w:val="21"/>
                <w:szCs w:val="21"/>
                <w:color w:val="auto"/>
              </w:rPr>
            </w:pPr>
          </w:p>
        </w:tc>
      </w:tr>
      <w:tr>
        <w:trPr>
          <w:trHeight w:val="466"/>
        </w:trPr>
        <w:tc>
          <w:tcPr>
            <w:tcW w:w="2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 for the Years ended December 31, 2025 and 2024</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87</w:t>
            </w:r>
          </w:p>
        </w:tc>
        <w:tc>
          <w:tcPr>
            <w:tcW w:w="20" w:type="dxa"/>
            <w:vAlign w:val="bottom"/>
          </w:tcPr>
          <w:p>
            <w:pPr>
              <w:spacing w:after="0"/>
              <w:rPr>
                <w:sz w:val="24"/>
                <w:szCs w:val="24"/>
                <w:color w:val="auto"/>
              </w:rPr>
            </w:pPr>
          </w:p>
        </w:tc>
      </w:tr>
      <w:tr>
        <w:trPr>
          <w:trHeight w:val="250"/>
        </w:trPr>
        <w:tc>
          <w:tcPr>
            <w:tcW w:w="240" w:type="dxa"/>
            <w:vAlign w:val="bottom"/>
          </w:tcPr>
          <w:p>
            <w:pPr>
              <w:spacing w:after="0"/>
              <w:rPr>
                <w:sz w:val="21"/>
                <w:szCs w:val="21"/>
                <w:color w:val="auto"/>
              </w:rPr>
            </w:pPr>
          </w:p>
        </w:tc>
        <w:tc>
          <w:tcPr>
            <w:tcW w:w="64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2980" w:type="dxa"/>
            <w:vAlign w:val="bottom"/>
            <w:gridSpan w:val="3"/>
          </w:tcPr>
          <w:p>
            <w:pPr>
              <w:spacing w:after="0"/>
              <w:rPr>
                <w:sz w:val="21"/>
                <w:szCs w:val="21"/>
                <w:color w:val="auto"/>
              </w:rPr>
            </w:pPr>
          </w:p>
        </w:tc>
        <w:tc>
          <w:tcPr>
            <w:tcW w:w="1460" w:type="dxa"/>
            <w:vAlign w:val="bottom"/>
            <w:gridSpan w:val="2"/>
          </w:tcPr>
          <w:p>
            <w:pPr>
              <w:spacing w:after="0"/>
              <w:rPr>
                <w:sz w:val="21"/>
                <w:szCs w:val="21"/>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70"/>
              </w:rPr>
              <w:t>88</w:t>
            </w:r>
          </w:p>
        </w:tc>
        <w:tc>
          <w:tcPr>
            <w:tcW w:w="20" w:type="dxa"/>
            <w:vAlign w:val="bottom"/>
          </w:tcPr>
          <w:p>
            <w:pPr>
              <w:spacing w:after="0"/>
              <w:rPr>
                <w:sz w:val="21"/>
                <w:szCs w:val="21"/>
                <w:color w:val="auto"/>
              </w:rPr>
            </w:pPr>
          </w:p>
        </w:tc>
      </w:tr>
      <w:tr>
        <w:trPr>
          <w:trHeight w:val="2039"/>
        </w:trPr>
        <w:tc>
          <w:tcPr>
            <w:tcW w:w="240" w:type="dxa"/>
            <w:vAlign w:val="bottom"/>
            <w:tcBorders>
              <w:bottom w:val="single" w:sz="8" w:color="9A9A9A"/>
            </w:tcBorders>
          </w:tcPr>
          <w:p>
            <w:pPr>
              <w:spacing w:after="0"/>
              <w:rPr>
                <w:sz w:val="24"/>
                <w:szCs w:val="24"/>
                <w:color w:val="auto"/>
              </w:rPr>
            </w:pPr>
          </w:p>
        </w:tc>
        <w:tc>
          <w:tcPr>
            <w:tcW w:w="3420" w:type="dxa"/>
            <w:vAlign w:val="bottom"/>
            <w:tcBorders>
              <w:top w:val="single" w:sz="8" w:color="0000FF"/>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4" w:name="page85"/>
    <w:bookmarkEnd w:id="84"/>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Instil Bio, Inc.: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Instil Bio, Inc. and subsidiaries (the “Company”) as of December 31, 2025 and 2024, the related consolidated statements of operations and comprehensive loss,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INSTIL BIO, INC.</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6,638</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8,805</w:t>
            </w:r>
          </w:p>
        </w:tc>
        <w:tc>
          <w:tcPr>
            <w:tcW w:w="0" w:type="dxa"/>
            <w:vAlign w:val="bottom"/>
          </w:tcPr>
          <w:p>
            <w:pPr>
              <w:spacing w:after="0"/>
              <w:rPr>
                <w:sz w:val="1"/>
                <w:szCs w:val="1"/>
                <w:color w:val="auto"/>
              </w:rPr>
            </w:pPr>
          </w:p>
        </w:tc>
      </w:tr>
      <w:tr>
        <w:trPr>
          <w:trHeight w:val="233"/>
        </w:trPr>
        <w:tc>
          <w:tcPr>
            <w:tcW w:w="7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0" w:type="dxa"/>
            <w:vAlign w:val="bottom"/>
          </w:tcPr>
          <w:p>
            <w:pPr>
              <w:spacing w:after="0"/>
              <w:rPr>
                <w:sz w:val="1"/>
                <w:szCs w:val="1"/>
                <w:color w:val="auto"/>
              </w:rPr>
            </w:pPr>
          </w:p>
        </w:tc>
      </w:tr>
      <w:tr>
        <w:trPr>
          <w:trHeight w:val="253"/>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Marketable securities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69,491</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104,510</w:t>
            </w:r>
          </w:p>
        </w:tc>
        <w:tc>
          <w:tcPr>
            <w:tcW w:w="0" w:type="dxa"/>
            <w:vAlign w:val="bottom"/>
          </w:tcPr>
          <w:p>
            <w:pPr>
              <w:spacing w:after="0"/>
              <w:rPr>
                <w:sz w:val="1"/>
                <w:szCs w:val="1"/>
                <w:color w:val="auto"/>
              </w:rPr>
            </w:pPr>
          </w:p>
        </w:tc>
      </w:tr>
      <w:tr>
        <w:trPr>
          <w:trHeight w:val="233"/>
        </w:trPr>
        <w:tc>
          <w:tcPr>
            <w:tcW w:w="7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9,325</w:t>
            </w:r>
          </w:p>
        </w:tc>
        <w:tc>
          <w:tcPr>
            <w:tcW w:w="0" w:type="dxa"/>
            <w:vAlign w:val="bottom"/>
          </w:tcPr>
          <w:p>
            <w:pPr>
              <w:spacing w:after="0"/>
              <w:rPr>
                <w:sz w:val="1"/>
                <w:szCs w:val="1"/>
                <w:color w:val="auto"/>
              </w:rPr>
            </w:pPr>
          </w:p>
        </w:tc>
      </w:tr>
      <w:tr>
        <w:trPr>
          <w:trHeight w:val="253"/>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Assets held for sale</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112,096</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191,429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124,470</w:t>
            </w:r>
          </w:p>
        </w:tc>
        <w:tc>
          <w:tcPr>
            <w:tcW w:w="0" w:type="dxa"/>
            <w:vAlign w:val="bottom"/>
          </w:tcPr>
          <w:p>
            <w:pPr>
              <w:spacing w:after="0"/>
              <w:rPr>
                <w:sz w:val="1"/>
                <w:szCs w:val="1"/>
                <w:color w:val="auto"/>
              </w:rPr>
            </w:pPr>
          </w:p>
        </w:tc>
      </w:tr>
      <w:tr>
        <w:trPr>
          <w:trHeight w:val="25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129,406</w:t>
            </w:r>
          </w:p>
        </w:tc>
        <w:tc>
          <w:tcPr>
            <w:tcW w:w="0" w:type="dxa"/>
            <w:vAlign w:val="bottom"/>
          </w:tcPr>
          <w:p>
            <w:pPr>
              <w:spacing w:after="0"/>
              <w:rPr>
                <w:sz w:val="1"/>
                <w:szCs w:val="1"/>
                <w:color w:val="auto"/>
              </w:rPr>
            </w:pPr>
          </w:p>
        </w:tc>
      </w:tr>
      <w:tr>
        <w:trPr>
          <w:trHeight w:val="23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0" w:type="dxa"/>
            <w:vAlign w:val="bottom"/>
          </w:tcPr>
          <w:p>
            <w:pPr>
              <w:spacing w:after="0"/>
              <w:rPr>
                <w:sz w:val="1"/>
                <w:szCs w:val="1"/>
                <w:color w:val="auto"/>
              </w:rPr>
            </w:pPr>
          </w:p>
        </w:tc>
      </w:tr>
      <w:tr>
        <w:trPr>
          <w:trHeight w:val="25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rent receivable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4,267</w:t>
            </w:r>
          </w:p>
        </w:tc>
        <w:tc>
          <w:tcPr>
            <w:tcW w:w="0" w:type="dxa"/>
            <w:vAlign w:val="bottom"/>
          </w:tcPr>
          <w:p>
            <w:pPr>
              <w:spacing w:after="0"/>
              <w:rPr>
                <w:sz w:val="1"/>
                <w:szCs w:val="1"/>
                <w:color w:val="auto"/>
              </w:rPr>
            </w:pPr>
          </w:p>
        </w:tc>
      </w:tr>
      <w:tr>
        <w:trPr>
          <w:trHeight w:val="236"/>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4,066</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0" w:type="dxa"/>
            <w:vAlign w:val="bottom"/>
          </w:tcPr>
          <w:p>
            <w:pPr>
              <w:spacing w:after="0"/>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203,523</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263,567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8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0" w:type="dxa"/>
            <w:vAlign w:val="bottom"/>
          </w:tcPr>
          <w:p>
            <w:pPr>
              <w:spacing w:after="0"/>
              <w:rPr>
                <w:sz w:val="1"/>
                <w:szCs w:val="1"/>
                <w:color w:val="auto"/>
              </w:rPr>
            </w:pPr>
          </w:p>
        </w:tc>
      </w:tr>
      <w:tr>
        <w:trPr>
          <w:trHeight w:val="253"/>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w:t>
            </w:r>
          </w:p>
        </w:tc>
        <w:tc>
          <w:tcPr>
            <w:tcW w:w="0" w:type="dxa"/>
            <w:vAlign w:val="bottom"/>
          </w:tcPr>
          <w:p>
            <w:pPr>
              <w:spacing w:after="0"/>
              <w:rPr>
                <w:sz w:val="1"/>
                <w:szCs w:val="1"/>
                <w:color w:val="auto"/>
              </w:rPr>
            </w:pP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7,896</w:t>
            </w:r>
          </w:p>
        </w:tc>
        <w:tc>
          <w:tcPr>
            <w:tcW w:w="0" w:type="dxa"/>
            <w:vAlign w:val="bottom"/>
          </w:tcPr>
          <w:p>
            <w:pPr>
              <w:spacing w:after="0"/>
              <w:rPr>
                <w:sz w:val="1"/>
                <w:szCs w:val="1"/>
                <w:color w:val="auto"/>
              </w:rPr>
            </w:pPr>
          </w:p>
        </w:tc>
      </w:tr>
      <w:tr>
        <w:trPr>
          <w:trHeight w:val="25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23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3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0" w:type="dxa"/>
            <w:vAlign w:val="bottom"/>
          </w:tcPr>
          <w:p>
            <w:pPr>
              <w:spacing w:after="0"/>
              <w:rPr>
                <w:sz w:val="1"/>
                <w:szCs w:val="1"/>
                <w:color w:val="auto"/>
              </w:rPr>
            </w:pPr>
          </w:p>
        </w:tc>
      </w:tr>
      <w:tr>
        <w:trPr>
          <w:trHeight w:val="25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payable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84,806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84,187</w:t>
            </w: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89,657</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94,131</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par value $0.000001 per share; 10,000,000 shares authorized; zero shares issued and outstanding as of</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2025, and 2024</w:t>
            </w:r>
          </w:p>
        </w:tc>
        <w:tc>
          <w:tcPr>
            <w:tcW w:w="3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par value $0.000001 per share; 300,000,000 shares authorized; 6,781,976 and 6,525,887 shares issued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outstanding as of December 31, 2025, and 2024</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7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840,937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824,780</w:t>
            </w:r>
          </w:p>
        </w:tc>
        <w:tc>
          <w:tcPr>
            <w:tcW w:w="0" w:type="dxa"/>
            <w:vAlign w:val="bottom"/>
          </w:tcPr>
          <w:p>
            <w:pPr>
              <w:spacing w:after="0"/>
              <w:rPr>
                <w:sz w:val="1"/>
                <w:szCs w:val="1"/>
                <w:color w:val="auto"/>
              </w:rPr>
            </w:pPr>
          </w:p>
        </w:tc>
      </w:tr>
      <w:tr>
        <w:trPr>
          <w:trHeight w:val="253"/>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36"/>
        </w:trPr>
        <w:tc>
          <w:tcPr>
            <w:tcW w:w="7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(726,488)</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(655,116)</w:t>
            </w:r>
          </w:p>
        </w:tc>
        <w:tc>
          <w:tcPr>
            <w:tcW w:w="0" w:type="dxa"/>
            <w:vAlign w:val="bottom"/>
          </w:tcPr>
          <w:p>
            <w:pPr>
              <w:spacing w:after="0"/>
              <w:rPr>
                <w:sz w:val="1"/>
                <w:szCs w:val="1"/>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113,866</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169,436</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203,523</w:t>
            </w:r>
          </w:p>
        </w:tc>
        <w:tc>
          <w:tcPr>
            <w:tcW w:w="80" w:type="dxa"/>
            <w:vAlign w:val="bottom"/>
          </w:tcPr>
          <w:p>
            <w:pPr>
              <w:spacing w:after="0"/>
              <w:rPr>
                <w:sz w:val="20"/>
                <w:szCs w:val="20"/>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263,567</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897255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86" w:name="page87"/>
    <w:bookmarkEnd w:id="86"/>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INSTIL 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96"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22860</wp:posOffset>
            </wp:positionV>
            <wp:extent cx="19291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w:t>
            </w:r>
          </w:p>
        </w:tc>
        <w:tc>
          <w:tcPr>
            <w:tcW w:w="0" w:type="dxa"/>
            <w:vAlign w:val="bottom"/>
          </w:tcPr>
          <w:p>
            <w:pPr>
              <w:spacing w:after="0"/>
              <w:rPr>
                <w:sz w:val="1"/>
                <w:szCs w:val="1"/>
                <w:color w:val="auto"/>
              </w:rPr>
            </w:pPr>
          </w:p>
        </w:tc>
      </w:tr>
      <w:tr>
        <w:trPr>
          <w:trHeight w:val="243"/>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0" w:type="dxa"/>
            <w:vAlign w:val="bottom"/>
          </w:tcPr>
          <w:p>
            <w:pPr>
              <w:spacing w:after="0"/>
              <w:rPr>
                <w:sz w:val="1"/>
                <w:szCs w:val="1"/>
                <w:color w:val="auto"/>
              </w:rPr>
            </w:pP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78,581</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73,541</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(73,541)</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rental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3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(71,372)</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(74,135)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available-for-sale securities,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comprehensive loss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(71,727)</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basic and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6,668,268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6,510,138</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INSTIL BIO,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80" w:type="dxa"/>
            <w:vAlign w:val="bottom"/>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79"/>
        </w:trPr>
        <w:tc>
          <w:tcPr>
            <w:tcW w:w="394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00" w:type="dxa"/>
            <w:vAlign w:val="bottom"/>
          </w:tcPr>
          <w:p>
            <w:pPr>
              <w:spacing w:after="0"/>
              <w:rPr>
                <w:sz w:val="6"/>
                <w:szCs w:val="6"/>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6"/>
                <w:szCs w:val="6"/>
                <w:color w:val="auto"/>
              </w:rPr>
            </w:pPr>
          </w:p>
        </w:tc>
        <w:tc>
          <w:tcPr>
            <w:tcW w:w="10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77"/>
        </w:trPr>
        <w:tc>
          <w:tcPr>
            <w:tcW w:w="3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0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39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6,503,913</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807,158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(580,981)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225,829</w:t>
            </w:r>
          </w:p>
        </w:tc>
        <w:tc>
          <w:tcPr>
            <w:tcW w:w="0" w:type="dxa"/>
            <w:vAlign w:val="bottom"/>
          </w:tcPr>
          <w:p>
            <w:pPr>
              <w:spacing w:after="0"/>
              <w:rPr>
                <w:sz w:val="1"/>
                <w:szCs w:val="1"/>
                <w:color w:val="auto"/>
              </w:rPr>
            </w:pPr>
          </w:p>
        </w:tc>
      </w:tr>
      <w:tr>
        <w:trPr>
          <w:trHeight w:val="193"/>
        </w:trPr>
        <w:tc>
          <w:tcPr>
            <w:tcW w:w="3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21,974</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37"/>
        </w:trPr>
        <w:tc>
          <w:tcPr>
            <w:tcW w:w="3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17,257</w:t>
            </w:r>
          </w:p>
        </w:tc>
        <w:tc>
          <w:tcPr>
            <w:tcW w:w="0" w:type="dxa"/>
            <w:vAlign w:val="bottom"/>
          </w:tcPr>
          <w:p>
            <w:pPr>
              <w:spacing w:after="0"/>
              <w:rPr>
                <w:sz w:val="1"/>
                <w:szCs w:val="1"/>
                <w:color w:val="auto"/>
              </w:rPr>
            </w:pPr>
          </w:p>
        </w:tc>
      </w:tr>
      <w:tr>
        <w:trPr>
          <w:trHeight w:val="193"/>
        </w:trPr>
        <w:tc>
          <w:tcPr>
            <w:tcW w:w="3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(74,135)</w:t>
            </w:r>
          </w:p>
        </w:tc>
        <w:tc>
          <w:tcPr>
            <w:tcW w:w="0" w:type="dxa"/>
            <w:vAlign w:val="bottom"/>
          </w:tcPr>
          <w:p>
            <w:pPr>
              <w:spacing w:after="0"/>
              <w:rPr>
                <w:sz w:val="1"/>
                <w:szCs w:val="1"/>
                <w:color w:val="auto"/>
              </w:rPr>
            </w:pPr>
          </w:p>
        </w:tc>
      </w:tr>
      <w:tr>
        <w:trPr>
          <w:trHeight w:val="37"/>
        </w:trPr>
        <w:tc>
          <w:tcPr>
            <w:tcW w:w="3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Balance—December 31, 2024</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6,525,887</w:t>
            </w:r>
          </w:p>
        </w:tc>
        <w:tc>
          <w:tcPr>
            <w:tcW w:w="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824,780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(655,116)</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169,436</w:t>
            </w:r>
          </w:p>
        </w:tc>
        <w:tc>
          <w:tcPr>
            <w:tcW w:w="0" w:type="dxa"/>
            <w:vAlign w:val="bottom"/>
          </w:tcPr>
          <w:p>
            <w:pPr>
              <w:spacing w:after="0"/>
              <w:rPr>
                <w:sz w:val="1"/>
                <w:szCs w:val="1"/>
                <w:color w:val="auto"/>
              </w:rPr>
            </w:pPr>
          </w:p>
        </w:tc>
      </w:tr>
      <w:tr>
        <w:trPr>
          <w:trHeight w:val="37"/>
        </w:trPr>
        <w:tc>
          <w:tcPr>
            <w:tcW w:w="3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70,252</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180"/>
        </w:trPr>
        <w:tc>
          <w:tcPr>
            <w:tcW w:w="3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Issuance of common stock in at-the-market offering, net of</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$0.3 million in issuance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185,837</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0" w:type="dxa"/>
            <w:vAlign w:val="bottom"/>
          </w:tcPr>
          <w:p>
            <w:pPr>
              <w:spacing w:after="0"/>
              <w:rPr>
                <w:sz w:val="1"/>
                <w:szCs w:val="1"/>
                <w:color w:val="auto"/>
              </w:rPr>
            </w:pPr>
          </w:p>
        </w:tc>
      </w:tr>
      <w:tr>
        <w:trPr>
          <w:trHeight w:val="37"/>
        </w:trPr>
        <w:tc>
          <w:tcPr>
            <w:tcW w:w="3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8,693</w:t>
            </w:r>
          </w:p>
        </w:tc>
        <w:tc>
          <w:tcPr>
            <w:tcW w:w="0" w:type="dxa"/>
            <w:vAlign w:val="bottom"/>
          </w:tcPr>
          <w:p>
            <w:pPr>
              <w:spacing w:after="0"/>
              <w:rPr>
                <w:sz w:val="1"/>
                <w:szCs w:val="1"/>
                <w:color w:val="auto"/>
              </w:rPr>
            </w:pPr>
          </w:p>
        </w:tc>
      </w:tr>
      <w:tr>
        <w:trPr>
          <w:trHeight w:val="193"/>
        </w:trPr>
        <w:tc>
          <w:tcPr>
            <w:tcW w:w="3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(71,372)</w:t>
            </w:r>
          </w:p>
        </w:tc>
        <w:tc>
          <w:tcPr>
            <w:tcW w:w="0" w:type="dxa"/>
            <w:vAlign w:val="bottom"/>
          </w:tcPr>
          <w:p>
            <w:pPr>
              <w:spacing w:after="0"/>
              <w:rPr>
                <w:sz w:val="1"/>
                <w:szCs w:val="1"/>
                <w:color w:val="auto"/>
              </w:rPr>
            </w:pPr>
          </w:p>
        </w:tc>
      </w:tr>
      <w:tr>
        <w:trPr>
          <w:trHeight w:val="37"/>
        </w:trPr>
        <w:tc>
          <w:tcPr>
            <w:tcW w:w="3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Balance—December 31, 2025</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6,781,976</w:t>
            </w:r>
          </w:p>
        </w:tc>
        <w:tc>
          <w:tcPr>
            <w:tcW w:w="80" w:type="dxa"/>
            <w:vAlign w:val="bottom"/>
          </w:tcPr>
          <w:p>
            <w:pPr>
              <w:spacing w:after="0"/>
              <w:rPr>
                <w:sz w:val="16"/>
                <w:szCs w:val="16"/>
                <w:color w:val="auto"/>
              </w:rPr>
            </w:pPr>
          </w:p>
        </w:tc>
        <w:tc>
          <w:tcPr>
            <w:tcW w:w="860" w:type="dxa"/>
            <w:vAlign w:val="bottom"/>
            <w:tcBorders>
              <w:top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840,937</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(726,488)</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113,866</w:t>
            </w:r>
          </w:p>
        </w:tc>
        <w:tc>
          <w:tcPr>
            <w:tcW w:w="0" w:type="dxa"/>
            <w:vAlign w:val="bottom"/>
          </w:tcPr>
          <w:p>
            <w:pPr>
              <w:spacing w:after="0"/>
              <w:rPr>
                <w:sz w:val="1"/>
                <w:szCs w:val="1"/>
                <w:color w:val="auto"/>
              </w:rPr>
            </w:pPr>
          </w:p>
        </w:tc>
      </w:tr>
      <w:tr>
        <w:trPr>
          <w:trHeight w:val="37"/>
        </w:trPr>
        <w:tc>
          <w:tcPr>
            <w:tcW w:w="39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382905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46" w:right="39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INSTIL 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gridSpan w:val="4"/>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8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35"/>
        </w:trPr>
        <w:tc>
          <w:tcPr>
            <w:tcW w:w="85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5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loss</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(71,372)</w:t>
            </w:r>
          </w:p>
        </w:tc>
        <w:tc>
          <w:tcPr>
            <w:tcW w:w="2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(74,135)</w:t>
            </w: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5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Stock-based compensation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8,693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17,257</w:t>
            </w: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Non-cash lease expense</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0" w:type="dxa"/>
            <w:vAlign w:val="bottom"/>
          </w:tcPr>
          <w:p>
            <w:pPr>
              <w:spacing w:after="0"/>
              <w:rPr>
                <w:sz w:val="1"/>
                <w:szCs w:val="1"/>
                <w:color w:val="auto"/>
              </w:rPr>
            </w:pPr>
          </w:p>
        </w:tc>
      </w:tr>
      <w:tr>
        <w:trPr>
          <w:trHeight w:val="208"/>
        </w:trPr>
        <w:tc>
          <w:tcPr>
            <w:tcW w:w="85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Foreign exchange remeasurement (gain) loss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Impairment of property, plant and equipment</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16,569</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4,325</w:t>
            </w:r>
          </w:p>
        </w:tc>
        <w:tc>
          <w:tcPr>
            <w:tcW w:w="0" w:type="dxa"/>
            <w:vAlign w:val="bottom"/>
          </w:tcPr>
          <w:p>
            <w:pPr>
              <w:spacing w:after="0"/>
              <w:rPr>
                <w:sz w:val="1"/>
                <w:szCs w:val="1"/>
                <w:color w:val="auto"/>
              </w:rPr>
            </w:pPr>
          </w:p>
        </w:tc>
      </w:tr>
      <w:tr>
        <w:trPr>
          <w:trHeight w:val="208"/>
        </w:trPr>
        <w:tc>
          <w:tcPr>
            <w:tcW w:w="85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Impairment of right-of-use assets</w:t>
            </w:r>
          </w:p>
        </w:tc>
        <w:tc>
          <w:tcPr>
            <w:tcW w:w="2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827</w:t>
            </w: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Change in fair value of contingent consideration</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(3,910)</w:t>
            </w:r>
          </w:p>
        </w:tc>
        <w:tc>
          <w:tcPr>
            <w:tcW w:w="0" w:type="dxa"/>
            <w:vAlign w:val="bottom"/>
          </w:tcPr>
          <w:p>
            <w:pPr>
              <w:spacing w:after="0"/>
              <w:rPr>
                <w:sz w:val="1"/>
                <w:szCs w:val="1"/>
                <w:color w:val="auto"/>
              </w:rPr>
            </w:pPr>
          </w:p>
        </w:tc>
      </w:tr>
      <w:tr>
        <w:trPr>
          <w:trHeight w:val="208"/>
        </w:trPr>
        <w:tc>
          <w:tcPr>
            <w:tcW w:w="85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Depreciation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3,610</w:t>
            </w: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Restructuring costs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85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In-process research and development expenses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Accretion on invested securities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(4,327)</w:t>
            </w:r>
          </w:p>
        </w:tc>
        <w:tc>
          <w:tcPr>
            <w:tcW w:w="0" w:type="dxa"/>
            <w:vAlign w:val="bottom"/>
          </w:tcPr>
          <w:p>
            <w:pPr>
              <w:spacing w:after="0"/>
              <w:rPr>
                <w:sz w:val="1"/>
                <w:szCs w:val="1"/>
                <w:color w:val="auto"/>
              </w:rPr>
            </w:pPr>
          </w:p>
        </w:tc>
      </w:tr>
      <w:tr>
        <w:trPr>
          <w:trHeight w:val="208"/>
        </w:trPr>
        <w:tc>
          <w:tcPr>
            <w:tcW w:w="85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Non-cash interest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962</w:t>
            </w: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Non-cash loss on debt extinguishment</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w:t>
            </w:r>
          </w:p>
        </w:tc>
        <w:tc>
          <w:tcPr>
            <w:tcW w:w="0" w:type="dxa"/>
            <w:vAlign w:val="bottom"/>
          </w:tcPr>
          <w:p>
            <w:pPr>
              <w:spacing w:after="0"/>
              <w:rPr>
                <w:sz w:val="1"/>
                <w:szCs w:val="1"/>
                <w:color w:val="auto"/>
              </w:rPr>
            </w:pPr>
          </w:p>
        </w:tc>
      </w:tr>
      <w:tr>
        <w:trPr>
          <w:trHeight w:val="208"/>
        </w:trPr>
        <w:tc>
          <w:tcPr>
            <w:tcW w:w="85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Change in fair value of derivative financial instrument</w:t>
            </w:r>
          </w:p>
        </w:tc>
        <w:tc>
          <w:tcPr>
            <w:tcW w:w="2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1,055</w:t>
            </w: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Loss on disposals of property and equipment</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0" w:type="dxa"/>
            <w:vAlign w:val="bottom"/>
          </w:tcPr>
          <w:p>
            <w:pPr>
              <w:spacing w:after="0"/>
              <w:rPr>
                <w:sz w:val="1"/>
                <w:szCs w:val="1"/>
                <w:color w:val="auto"/>
              </w:rPr>
            </w:pPr>
          </w:p>
        </w:tc>
      </w:tr>
      <w:tr>
        <w:trPr>
          <w:trHeight w:val="208"/>
        </w:trPr>
        <w:tc>
          <w:tcPr>
            <w:tcW w:w="85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6,115</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0" w:type="dxa"/>
            <w:vAlign w:val="bottom"/>
          </w:tcPr>
          <w:p>
            <w:pPr>
              <w:spacing w:after="0"/>
              <w:rPr>
                <w:sz w:val="1"/>
                <w:szCs w:val="1"/>
                <w:color w:val="auto"/>
              </w:rPr>
            </w:pPr>
          </w:p>
        </w:tc>
      </w:tr>
      <w:tr>
        <w:trPr>
          <w:trHeight w:val="208"/>
        </w:trPr>
        <w:tc>
          <w:tcPr>
            <w:tcW w:w="856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Other long-term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(4,363)</w:t>
            </w: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Accrued rent receivable</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(3,397)</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(4,267)</w:t>
            </w:r>
          </w:p>
        </w:tc>
        <w:tc>
          <w:tcPr>
            <w:tcW w:w="0" w:type="dxa"/>
            <w:vAlign w:val="bottom"/>
          </w:tcPr>
          <w:p>
            <w:pPr>
              <w:spacing w:after="0"/>
              <w:rPr>
                <w:sz w:val="1"/>
                <w:szCs w:val="1"/>
                <w:color w:val="auto"/>
              </w:rPr>
            </w:pPr>
          </w:p>
        </w:tc>
      </w:tr>
      <w:tr>
        <w:trPr>
          <w:trHeight w:val="208"/>
        </w:trPr>
        <w:tc>
          <w:tcPr>
            <w:tcW w:w="856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(556)</w:t>
            </w: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(1,393)</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(1,377)</w:t>
            </w:r>
          </w:p>
        </w:tc>
        <w:tc>
          <w:tcPr>
            <w:tcW w:w="0" w:type="dxa"/>
            <w:vAlign w:val="bottom"/>
          </w:tcPr>
          <w:p>
            <w:pPr>
              <w:spacing w:after="0"/>
              <w:rPr>
                <w:sz w:val="1"/>
                <w:szCs w:val="1"/>
                <w:color w:val="auto"/>
              </w:rPr>
            </w:pPr>
          </w:p>
        </w:tc>
      </w:tr>
      <w:tr>
        <w:trPr>
          <w:trHeight w:val="208"/>
        </w:trPr>
        <w:tc>
          <w:tcPr>
            <w:tcW w:w="856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Long-term liabilities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85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(1,898)</w:t>
            </w:r>
          </w:p>
        </w:tc>
        <w:tc>
          <w:tcPr>
            <w:tcW w:w="0" w:type="dxa"/>
            <w:vAlign w:val="bottom"/>
          </w:tcPr>
          <w:p>
            <w:pPr>
              <w:spacing w:after="0"/>
              <w:rPr>
                <w:sz w:val="1"/>
                <w:szCs w:val="1"/>
                <w:color w:val="auto"/>
              </w:rPr>
            </w:pPr>
          </w:p>
        </w:tc>
      </w:tr>
      <w:tr>
        <w:trPr>
          <w:trHeight w:val="202"/>
        </w:trPr>
        <w:tc>
          <w:tcPr>
            <w:tcW w:w="856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(36,619)</w:t>
            </w: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(55,696)</w:t>
            </w:r>
          </w:p>
        </w:tc>
        <w:tc>
          <w:tcPr>
            <w:tcW w:w="0" w:type="dxa"/>
            <w:vAlign w:val="bottom"/>
          </w:tcPr>
          <w:p>
            <w:pPr>
              <w:spacing w:after="0"/>
              <w:rPr>
                <w:sz w:val="1"/>
                <w:szCs w:val="1"/>
                <w:color w:val="auto"/>
              </w:rPr>
            </w:pPr>
          </w:p>
        </w:tc>
      </w:tr>
      <w:tr>
        <w:trPr>
          <w:trHeight w:val="35"/>
        </w:trPr>
        <w:tc>
          <w:tcPr>
            <w:tcW w:w="85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5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Purchase of marketable securities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(100,856)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(134,009)</w:t>
            </w: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Maturities of marketable securities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135,900</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198,100</w:t>
            </w:r>
          </w:p>
        </w:tc>
        <w:tc>
          <w:tcPr>
            <w:tcW w:w="0" w:type="dxa"/>
            <w:vAlign w:val="bottom"/>
          </w:tcPr>
          <w:p>
            <w:pPr>
              <w:spacing w:after="0"/>
              <w:rPr>
                <w:sz w:val="1"/>
                <w:szCs w:val="1"/>
                <w:color w:val="auto"/>
              </w:rPr>
            </w:pPr>
          </w:p>
        </w:tc>
      </w:tr>
      <w:tr>
        <w:trPr>
          <w:trHeight w:val="208"/>
        </w:trPr>
        <w:tc>
          <w:tcPr>
            <w:tcW w:w="85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Cash received from asset disposals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866</w:t>
            </w: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Acquired in-process research and development</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0" w:type="dxa"/>
            <w:vAlign w:val="bottom"/>
          </w:tcPr>
          <w:p>
            <w:pPr>
              <w:spacing w:after="0"/>
              <w:rPr>
                <w:sz w:val="1"/>
                <w:szCs w:val="1"/>
                <w:color w:val="auto"/>
              </w:rPr>
            </w:pPr>
          </w:p>
        </w:tc>
      </w:tr>
      <w:tr>
        <w:trPr>
          <w:trHeight w:val="208"/>
        </w:trPr>
        <w:tc>
          <w:tcPr>
            <w:tcW w:w="85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Cash received from termination of derivative financial instrument</w:t>
            </w:r>
          </w:p>
        </w:tc>
        <w:tc>
          <w:tcPr>
            <w:tcW w:w="2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605</w:t>
            </w: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Purchase of derivative financial instrument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(1,588)</w:t>
            </w:r>
          </w:p>
        </w:tc>
        <w:tc>
          <w:tcPr>
            <w:tcW w:w="0" w:type="dxa"/>
            <w:vAlign w:val="bottom"/>
          </w:tcPr>
          <w:p>
            <w:pPr>
              <w:spacing w:after="0"/>
              <w:rPr>
                <w:sz w:val="1"/>
                <w:szCs w:val="1"/>
                <w:color w:val="auto"/>
              </w:rPr>
            </w:pPr>
          </w:p>
        </w:tc>
      </w:tr>
      <w:tr>
        <w:trPr>
          <w:trHeight w:val="201"/>
        </w:trPr>
        <w:tc>
          <w:tcPr>
            <w:tcW w:w="856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Net cash provided by investing activities</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25,476</w:t>
            </w: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53,974</w:t>
            </w:r>
          </w:p>
        </w:tc>
        <w:tc>
          <w:tcPr>
            <w:tcW w:w="0" w:type="dxa"/>
            <w:vAlign w:val="bottom"/>
          </w:tcPr>
          <w:p>
            <w:pPr>
              <w:spacing w:after="0"/>
              <w:rPr>
                <w:sz w:val="1"/>
                <w:szCs w:val="1"/>
                <w:color w:val="auto"/>
              </w:rPr>
            </w:pPr>
          </w:p>
        </w:tc>
      </w:tr>
      <w:tr>
        <w:trPr>
          <w:trHeight w:val="35"/>
        </w:trPr>
        <w:tc>
          <w:tcPr>
            <w:tcW w:w="85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5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Proceeds from the 2024 Loan</w:t>
            </w:r>
          </w:p>
        </w:tc>
        <w:tc>
          <w:tcPr>
            <w:tcW w:w="2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85,600</w:t>
            </w: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Principal payments on Construction Loans</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(82,838)</w:t>
            </w:r>
          </w:p>
        </w:tc>
        <w:tc>
          <w:tcPr>
            <w:tcW w:w="0" w:type="dxa"/>
            <w:vAlign w:val="bottom"/>
          </w:tcPr>
          <w:p>
            <w:pPr>
              <w:spacing w:after="0"/>
              <w:rPr>
                <w:sz w:val="1"/>
                <w:szCs w:val="1"/>
                <w:color w:val="auto"/>
              </w:rPr>
            </w:pPr>
          </w:p>
        </w:tc>
      </w:tr>
      <w:tr>
        <w:trPr>
          <w:trHeight w:val="208"/>
        </w:trPr>
        <w:tc>
          <w:tcPr>
            <w:tcW w:w="85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Proceeds from at-the-market offering, net of $0.3 million in issuance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6,611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w:t>
            </w:r>
          </w:p>
        </w:tc>
        <w:tc>
          <w:tcPr>
            <w:tcW w:w="0" w:type="dxa"/>
            <w:vAlign w:val="bottom"/>
          </w:tcPr>
          <w:p>
            <w:pPr>
              <w:spacing w:after="0"/>
              <w:rPr>
                <w:sz w:val="1"/>
                <w:szCs w:val="1"/>
                <w:color w:val="auto"/>
              </w:rPr>
            </w:pPr>
          </w:p>
        </w:tc>
      </w:tr>
      <w:tr>
        <w:trPr>
          <w:trHeight w:val="208"/>
        </w:trPr>
        <w:tc>
          <w:tcPr>
            <w:tcW w:w="85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2024 Loan agreement closing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(1,372)</w:t>
            </w:r>
          </w:p>
        </w:tc>
        <w:tc>
          <w:tcPr>
            <w:tcW w:w="0" w:type="dxa"/>
            <w:vAlign w:val="bottom"/>
          </w:tcPr>
          <w:p>
            <w:pPr>
              <w:spacing w:after="0"/>
              <w:rPr>
                <w:sz w:val="1"/>
                <w:szCs w:val="1"/>
                <w:color w:val="auto"/>
              </w:rPr>
            </w:pPr>
          </w:p>
        </w:tc>
      </w:tr>
      <w:tr>
        <w:trPr>
          <w:trHeight w:val="35"/>
        </w:trPr>
        <w:tc>
          <w:tcPr>
            <w:tcW w:w="85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8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7,292</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1,755</w:t>
            </w:r>
          </w:p>
        </w:tc>
        <w:tc>
          <w:tcPr>
            <w:tcW w:w="0" w:type="dxa"/>
            <w:vAlign w:val="bottom"/>
          </w:tcPr>
          <w:p>
            <w:pPr>
              <w:spacing w:after="0"/>
              <w:rPr>
                <w:sz w:val="1"/>
                <w:szCs w:val="1"/>
                <w:color w:val="auto"/>
              </w:rPr>
            </w:pPr>
          </w:p>
        </w:tc>
      </w:tr>
      <w:tr>
        <w:trPr>
          <w:trHeight w:val="201"/>
        </w:trPr>
        <w:tc>
          <w:tcPr>
            <w:tcW w:w="8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(decrease) increase in cash, cash equivalents, and restricted cash</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(3,851)</w:t>
            </w: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0" w:type="dxa"/>
            <w:vAlign w:val="bottom"/>
          </w:tcPr>
          <w:p>
            <w:pPr>
              <w:spacing w:after="0"/>
              <w:rPr>
                <w:sz w:val="1"/>
                <w:szCs w:val="1"/>
                <w:color w:val="auto"/>
              </w:rPr>
            </w:pPr>
          </w:p>
        </w:tc>
      </w:tr>
      <w:tr>
        <w:trPr>
          <w:trHeight w:val="208"/>
        </w:trPr>
        <w:tc>
          <w:tcPr>
            <w:tcW w:w="8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cash—beginning of period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10,635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10,696</w:t>
            </w:r>
          </w:p>
        </w:tc>
        <w:tc>
          <w:tcPr>
            <w:tcW w:w="0" w:type="dxa"/>
            <w:vAlign w:val="bottom"/>
          </w:tcPr>
          <w:p>
            <w:pPr>
              <w:spacing w:after="0"/>
              <w:rPr>
                <w:sz w:val="1"/>
                <w:szCs w:val="1"/>
                <w:color w:val="auto"/>
              </w:rPr>
            </w:pPr>
          </w:p>
        </w:tc>
      </w:tr>
      <w:tr>
        <w:trPr>
          <w:trHeight w:val="35"/>
        </w:trPr>
        <w:tc>
          <w:tcPr>
            <w:tcW w:w="85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cash—end of period</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6,804</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10,635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5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interest</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5,038</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7,997</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ectPr>
          <w:pgSz w:w="11900" w:h="16838" w:orient="portrait"/>
          <w:cols w:equalWidth="0" w:num="1">
            <w:col w:w="11240"/>
          </w:cols>
          <w:pgMar w:left="320" w:top="1413" w:right="339"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913130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89" w:name="page90"/>
    <w:bookmarkEnd w:id="89"/>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INSTIL BIO,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Instil Bio, Inc. (the “Company”) is a biotechnology company focused on identifying and advancing innovative therapeutic opportunities.</w:t>
      </w:r>
    </w:p>
    <w:p>
      <w:pPr>
        <w:spacing w:after="0" w:line="18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In January 2026, the Company announced that its wholly owned subsidiary, Axion Bio, Inc. (“Axion Bio”), was discontinuing development of AXN-2510/IMM2510, its former lead product candidate.</w:t>
      </w:r>
    </w:p>
    <w:p>
      <w:pPr>
        <w:spacing w:after="0" w:line="135"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The Company is actively seeking to in-license or acquire and develop additional novel therapeutic candidates in diseases with significant unmet medical need.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and include the accounts of the Company and its wholly owned subsidiaries. All intercompany balances and transactions have been eliminated in consolidation.</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expenses during the reporting period. Significant estimates and assumptions made in the accompanying consolidated financial statements include but are not limited to the fair value of assets held for sale and determination of fair value of the Company’s building, and stock-based compensation.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89"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restricted cash, and marketable securities. The Company’s cash and cash equivalents are held by two financial institutions in the United States (“U.S.”) and one financial institution in the United Kingdom (“UK”), which management believes to be financially sound, and accordingly, minimal credit risk exists with respect to the financial institutions. At times, the Company’s deposits held in the U.S. and UK may exceed the Federal Depository Insurance Corporation and Financial Services Compensation Scheme, respectively, insured limits. During the years ended December 31, 2025 and 2024, the Company has not experienced any credit losses in such accounts or marketable securities.</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8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development-stage biopharmaceutical companies, including but not limited to, the Company’s ability to acquire or in-license promising product candidates, dependency on the clinical and commercial success of such product candidates, if any, ability to obtain regulatory approval of any product candidates, uncertainty of broad adoption of its approved products, if any, by physicians and patients, manufacturing, the need to obtain adequate additional funding, significant competition, and protection of its intellectual property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978535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89"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entity for which separate discrete financial information is available and that is regularly reviewed by the chief operating decision maker, the Company’s Chief Executive Officer, in deciding how to allocate resources to an individual segment and in assessing performance. The Company has determined it operates in a single operating segment and has one operating segment. See Note 3 for further information.</w:t>
      </w:r>
    </w:p>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Restricted Cash, and Marketable Securities</w:t>
      </w:r>
    </w:p>
    <w:p>
      <w:pPr>
        <w:spacing w:after="0" w:line="189"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from the purchase date to be cash equivalents. Cash equivalents include amounts invested in money market accounts.</w:t>
      </w:r>
    </w:p>
    <w:p>
      <w:pPr>
        <w:spacing w:after="0" w:line="121"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Restricted cash consists of a cash reserve which served as collateral for the Company’s Construction Loans (as defined in Note 8) during the year ended December 31, 2024. As of December 31, 2025, restricted cash consists of a cash reserve allocated to future tax payments. There was $0.2 million and $1.8 million restricted cash as of December 31, 2025 and 2024, respectively, on the consolidated balance sheets.</w:t>
      </w:r>
    </w:p>
    <w:p>
      <w:pPr>
        <w:spacing w:after="0" w:line="14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Company’s investments in marketable securities have been classified and accounted for as available-for-sale. The Company classifies its maturities as either short-term or long-term based on each instrument’s underlying contractual maturity date, which are carried at their fair values based on the quoted market prices of the securities. Unrealized gains and losses are reported as accumulated other comprehensive income (loss). Realized gains and losses on available-for-sale securities are included in net loss in the period earned or incurred. As of December 31, 2025 and 2024, marketable securities consisted of U.S. Treasury bills.</w:t>
      </w:r>
    </w:p>
    <w:p>
      <w:pPr>
        <w:spacing w:after="0" w:line="143"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periodically reviews whether its securities may be other-than-temporarily impaired, including whether or not (i) the Company has the intent to sell the security or (ii) it is more likely than not that the Company will be required to sell the security before its anticipated recovery. If one of these factors is met, the Company will record an impairment loss associated with its impaired investment. The impairment loss will be recorded as a write-down of investments in the consolidated balance sheets and a realized loss within other expense in the consolidated statements of operations and comprehensive loss. For the years ended December 31, 2025 and 2024, there were no impairment losses for the investments.</w:t>
      </w:r>
    </w:p>
    <w:p>
      <w:pPr>
        <w:spacing w:after="0" w:line="143" w:lineRule="exact"/>
        <w:rPr>
          <w:sz w:val="20"/>
          <w:szCs w:val="20"/>
          <w:color w:val="auto"/>
        </w:rPr>
      </w:pPr>
    </w:p>
    <w:p>
      <w:pPr>
        <w:ind w:right="80" w:firstLine="405"/>
        <w:spacing w:after="0" w:line="279"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amounts shown in the consolidated statements of cash flows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8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7"/>
        </w:trPr>
        <w:tc>
          <w:tcPr>
            <w:tcW w:w="68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6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0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Management evaluated the Company’s ability to continue as a going concern for the twelve months following the issuance of the consolidated financial statements. As disclosed and defined in Note 8, the 2024 Loan is due in January 2027, for total principal of $85.6 million which is in excess of cash, cash equivalents, and marketable securities on hand as of December 31, 2025, which management has concluded is an indicator of substantial doubt about the Company's ability to continue as a 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ind w:left="420"/>
        <w:spacing w:after="0"/>
        <w:rPr>
          <w:sz w:val="20"/>
          <w:szCs w:val="20"/>
          <w:color w:val="auto"/>
        </w:rPr>
      </w:pPr>
      <w:r>
        <w:rPr>
          <w:rFonts w:ascii="Times New Roman" w:cs="Times New Roman" w:eastAsia="Times New Roman" w:hAnsi="Times New Roman"/>
          <w:sz w:val="17"/>
          <w:szCs w:val="17"/>
          <w:color w:val="auto"/>
        </w:rPr>
        <w:t>If the Company is unable to refinance the 2024 Loan prior to maturity, the Company plans to execute its contractual right to extend the maturity of the</w:t>
      </w:r>
    </w:p>
    <w:p>
      <w:pPr>
        <w:spacing w:after="0" w:line="27"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2024 Loan to January 2028. In addition to the Company’s plan to exercise the extension option in the 2024 Loan, the Company may seek to refinance or restructure the 2024 Loan including by extending its maturity date beyond the extended date, sell the building to repay the 2024 Loan, or seek additional financing in the form of equity or debt instruments. There can be no assurance that new financing or other forms of funding will be available on favorable terms or at all. Management concluded that the Company’s contractual right to exercise the extension option to January 2028 is solely within the Company’s control and alleviates the conditions that raise substantial doubt about the Company’s ability to continue as a going concern.</w:t>
      </w:r>
    </w:p>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89"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maximize the use of observable inputs and minimize the use of unobservable inputs. The Company measures fair value based on a three-tier hierarchy, which prioritizes the inputs used in the valuation methodologies in measuring fair value as follows: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Level 1 —</w:t>
      </w:r>
      <w:r>
        <w:rPr>
          <w:rFonts w:ascii="Times New Roman" w:cs="Times New Roman" w:eastAsia="Times New Roman" w:hAnsi="Times New Roman"/>
          <w:sz w:val="18"/>
          <w:szCs w:val="18"/>
          <w:color w:val="auto"/>
        </w:rPr>
        <w:t>Observable inputs such as unadjusted, quoted prices in active markets for identical assets or liabilities at the measurement date.</w:t>
      </w:r>
    </w:p>
    <w:p>
      <w:pPr>
        <w:spacing w:after="0" w:line="198" w:lineRule="exact"/>
        <w:rPr>
          <w:sz w:val="20"/>
          <w:szCs w:val="20"/>
          <w:color w:val="auto"/>
        </w:rPr>
      </w:pPr>
    </w:p>
    <w:p>
      <w:pPr>
        <w:ind w:left="660" w:right="20"/>
        <w:spacing w:after="0" w:line="267" w:lineRule="auto"/>
        <w:rPr>
          <w:sz w:val="20"/>
          <w:szCs w:val="20"/>
          <w:color w:val="auto"/>
        </w:rPr>
      </w:pPr>
      <w:r>
        <w:rPr>
          <w:rFonts w:ascii="Times New Roman" w:cs="Times New Roman" w:eastAsia="Times New Roman" w:hAnsi="Times New Roman"/>
          <w:sz w:val="18"/>
          <w:szCs w:val="18"/>
          <w:i w:val="1"/>
          <w:iCs w:val="1"/>
          <w:color w:val="auto"/>
        </w:rPr>
        <w:t>Level 2 —</w:t>
      </w:r>
      <w:r>
        <w:rPr>
          <w:rFonts w:ascii="Times New Roman" w:cs="Times New Roman" w:eastAsia="Times New Roman" w:hAnsi="Times New Roman"/>
          <w:sz w:val="18"/>
          <w:szCs w:val="18"/>
          <w:color w:val="auto"/>
        </w:rPr>
        <w:t>Inputs (other than quoted prices included in Level 1) are either directly or indirectly observable for the assets or liabilities. These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for similar assets or liabilities in active markets and quoted prices for identical or similar assets or liabilities in markets that are not active.</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187"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 quoted market prices, or valuation techniques that maximize the use of unobservable inputs to the extent possible as well as considers counterparty credit risk in its assessment of fair value.</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8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Property, plant and equipment, with the exception of land, is stated at cost less accumulated depreciation. Depreciation is computed on a straight-line basis over the estimated useful lives of the related assets. Maintenance and repairs are charged to operations as incurred. Upon sale or retirement of assets, the cost and related accumulated depreciation are removed from the consolidated balance sheets and the resulting gain or loss is reflected in the consolidated statements of operations and comprehensive loss. The estimated useful lives of the Company’s property, plant and equipment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Computer equipment</w:t>
            </w:r>
          </w:p>
        </w:tc>
        <w:tc>
          <w:tcPr>
            <w:tcW w:w="618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5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Office furniture</w:t>
            </w:r>
          </w:p>
        </w:tc>
        <w:tc>
          <w:tcPr>
            <w:tcW w:w="618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7 years</w:t>
            </w:r>
          </w:p>
        </w:tc>
      </w:tr>
      <w:tr>
        <w:trPr>
          <w:trHeight w:val="27"/>
        </w:trPr>
        <w:tc>
          <w:tcPr>
            <w:tcW w:w="506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243"/>
        </w:trPr>
        <w:tc>
          <w:tcPr>
            <w:tcW w:w="5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Building</w:t>
            </w:r>
          </w:p>
        </w:tc>
        <w:tc>
          <w:tcPr>
            <w:tcW w:w="618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35 years</w:t>
            </w:r>
          </w:p>
        </w:tc>
      </w:tr>
      <w:tr>
        <w:trPr>
          <w:trHeight w:val="27"/>
        </w:trPr>
        <w:tc>
          <w:tcPr>
            <w:tcW w:w="5060" w:type="dxa"/>
            <w:vAlign w:val="bottom"/>
            <w:shd w:val="clear" w:color="auto" w:fill="CCEEFF"/>
          </w:tcPr>
          <w:p>
            <w:pPr>
              <w:spacing w:after="0"/>
              <w:rPr>
                <w:sz w:val="2"/>
                <w:szCs w:val="2"/>
                <w:color w:val="auto"/>
              </w:rPr>
            </w:pPr>
          </w:p>
        </w:tc>
        <w:tc>
          <w:tcPr>
            <w:tcW w:w="61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owns land and building and, as described in Note 4, the clinical and commercial manufacturing building has been completed and has been leased. See Note 8 for details. In March 2025, the Company’s board of directors (the “Board of Directors”) approved a plan to sell the Tarzana facility. The Company engaged a broker to facilitate the sale of the Tarzana facility and therefore reclassified the land and building as held for sale in the consolidated balance sheet as of December 31, 2025. Refer to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978535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2" w:name="page93"/>
    <w:bookmarkEnd w:id="92"/>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89"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Company classifies long-lived assets or disposal groups to be sold as held for sale in the period in which all of the following criteria are met: management, having the authority to approve the action, commits to a plan to sell the asset or disposal group; the asset or disposal group is available for immediate sale in its present condition subject only to terms that are usual and customary for sales of such assets or disposal group; the sale of the asset or disposal group is probable, and transfer of the asset or disposal group is expected to qualify for recognition as a completed sale within one year, except if events or circumstances beyond the Company’s control extend the period of time required to sell the asset or disposal group beyond one year; and actions required to complete the plan to sell have been initiated.</w:t>
      </w:r>
    </w:p>
    <w:p>
      <w:pPr>
        <w:spacing w:after="0" w:line="16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Company initially measures a long-lived asset or disposal group that is held for sale at the lower of its carrying value or fair value less any costs to sell. Fair value is estimated by the Company through evaluations of quoted market prices received for other comparable held for sale assets sold by the Company. Any loss resulting from this measurement is recognized in the period in which the held for sale criteria are met. Conversely, gains are not recognized on the sale of a long-lived asset or disposal group until the date of sale. The Company assesses the fair value of a long-lived asset or disposal group less any costs to sell each reporting period it remains classified as held for sale and reports any subsequent changes as an adjustment to the carrying value of the asset or disposal group, as long as the new carrying value does not exceed the carrying value of the asset at the time it was initially classified as held for sale. Upon determining that a long-lived asset or disposal group meets the criteria to be classified as held for sale, the Company ceases depreciation and reports long-lived assets in the line item “assets held for sale” in its consolidated balance sheets.</w:t>
      </w:r>
    </w:p>
    <w:p>
      <w:pPr>
        <w:spacing w:after="0" w:line="15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March 2025, the Company’s Board of Directors approved a plan to sell the Tarzana facility. The Company engaged a broker to facilitate the sale of the Tarzana facility and therefore reclassified the land and building as held for sale in the consolidated balance sheet as of December 31, 2025. The Tarzana facility is currently leased to AstraZeneca Pharmaceuticals LP (“Tenant”) and Tenant has a right of first offer to purchase it. Refer to Note 8. During the year ended December 31, 2025, the Company recorded a building impairment related to the Tarzana facility of $16.6 million. During the year ended December 31, 2024, the Company recorded non-cash impairment charges for assets held for sale related to impairment of the Company’s Manchester, United Kingdom manufacturing equipment of $4.3 million recognized in the consolidated statements of operations and comprehensive loss in the line item “restructuring and impairment charges.” See Note 4 for more information.</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0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an asset may not be recoverable or that the useful life is shorter than originally estimated. Recoverability of assets is measured by comparing the carrying amount of an asset to future undiscounted net cash flows expected to be generated by the asset over its remaining useful life. If such assets are impaired, the impairment recognized is measured by the amount by which the carrying amount of the assets exceeds the fair value of the assets. If the useful life is shorter than originally estimated, the Company depreciates or amortizes the remaining carrying value over the revised shorter useful life. During the year ended December 31, 2025 the Company recognized an impairment of long-lived assets held for sale related to the Tarzana facility of $16.6 million. During the year ended December 31, 2024, the Company recorded non-cash impairment charges for assets held for sale related to impairment of the Company’s Manchester, United Kingdom manufacturing equipment of $4.3 million.</w:t>
      </w:r>
    </w:p>
    <w:p>
      <w:pPr>
        <w:spacing w:after="0" w:line="15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recognized non-cash impairment charges of nil and $0.3 million for the years ended December 31, 2025 and 2024, respectively, related to impairment of leasehold improvements.</w:t>
      </w:r>
    </w:p>
    <w:p>
      <w:pPr>
        <w:spacing w:after="0" w:line="12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These non-cash impairment charges were recorded in the consolidated statements of operations and comprehensive loss in the line item “restructuring and impairment charges.” See Note 13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Clinical trial and other development costs incurred by third parties are expensed as the contracted work is performed. The Company accrues for costs incurred as the services are being provided by monitoring the status of the trial or project and the invoices received from its external service providers. The Company adjusts its accrual as actual costs become known. Where contingent milestone payments are due to third parties under research and development arrangements or license agreements, the milestone payment obligations are expensed when the milestone results are achieved.</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Company measures its stock-based awards granted to employees, non-employee directors, consultants and independent advisors based on the estimated grant date fair value of the awards. For stock-based awards with only service conditions, compensation expense is recognized over the requisite service period using the straight-line method. For stock-based awards that include performance conditions, compensation expense is not recognized until the performance condition is probable to occur. The Company uses the Black-Scholes option pricing model to estimate the fair value of its stock-based awards. The Black-Scholes option pricing model requires the Company to make assumptions and judgements about the variables used in the calculations, including the fair value of common stock, expected term, expected volatility of the Company’s common stock, risk-free interest rate and expected dividend yield. The Company accounts for forfeitures of stock-based awards as they occur.</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Deferred tax assets and liabilities are recognized for the future tax consequences attributable to differences between the financial statement carrying amounts or existing assets and liabilities and their respective tax bases.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The Company records a valuation allowance to reduce deferred tax assets to an amount expected to be realized.</w:t>
      </w:r>
    </w:p>
    <w:p>
      <w:pPr>
        <w:spacing w:after="0" w:line="143"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if it is more likely than not that the tax position will be sustained upon examination by the tax authorities, based on the merits of the position.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89"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The Company’s reporting currency is the U.S. dollar. The functional currency of the Company’s subsidiary located in the United Kingdom is the British pound sterling. Balance sheets prepared in the functional currency are translated to the reporting currency at exchange rates in effect at the end of the accounting period, except for stockholders’ deficit accounts, which are translated at rates in effect when these balances were originally recorded. Revenue and expense accounts are translated using an average exchange rate in effect during the period. The resulting foreign currency translation adjustments are recorded as a separate component of accumulated other comprehensive loss in the accompanying consolidated balance sheets.</w:t>
      </w:r>
    </w:p>
    <w:p>
      <w:pPr>
        <w:spacing w:after="0" w:line="143"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Gains and losses resulting from exchange rate changes on intercompany transactions denominated in a currency other than the local currency are included in earnings as incurred as the related amounts are expected to be repaid in the foreseeable future.</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8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shares of the Company’s common stock outstanding for the period, without consideration for potential dilutive shares of common stock. For purposes of the diluted net loss per share calculation, convertible preferred stock and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ind w:right="120"/>
        <w:spacing w:after="0" w:line="282" w:lineRule="auto"/>
        <w:rPr>
          <w:sz w:val="20"/>
          <w:szCs w:val="20"/>
          <w:color w:val="auto"/>
        </w:rPr>
      </w:pPr>
      <w:r>
        <w:rPr>
          <w:rFonts w:ascii="Times New Roman" w:cs="Times New Roman" w:eastAsia="Times New Roman" w:hAnsi="Times New Roman"/>
          <w:sz w:val="18"/>
          <w:szCs w:val="18"/>
          <w:color w:val="auto"/>
        </w:rPr>
        <w:t>options are considered to be potentially dilutive securities. Diluted net loss per share is the same as basic net loss per share for each period presented since the effects of potentially dilutive securities are antidilutive given the net loss of the Company.</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02"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a change in equity during a period from transactions and other events and circumstances from non-owner sources. For the years ended December 31, 2025 and 2024, comprehensive loss consists of foreign currency translation adjustments and unrealized loss on available-for-sale securities net of tax.</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contract inception by assessing whether the arrangement contains an identified asset and whether the lessee has the right to control such asset. Lessees are required to classify leases as either finance or operating leases and to record a right-of-use (“ROU”) asset and a lease liability for all leases with a term greater than 12 months regardless of the lease classification. The lease classification will determine whether the lease expense is recognized based on an effective interest rate method or on a straight-line basis over the term of the lease. The Company determines the initial classification and measurement of its ROU assets and lease liabilities at the lease commencement date and thereafter if modified. For leases with a term greater than 12 months, the Company records the lease liability at the present value of lease payments over the term. The term of the Company’s leases equals the non-cancellable period of the lease, including any rent-free periods provided by the lessor, and also includes options to extend or terminate the lease that the Company is reasonably certain to exercise. The ROU asset equals the carrying amount of the related lease liability, adjusted for any lease payments made prior to lease commencement, any deferred rent upon adoption, and lease incentives provided by the lessor.</w:t>
      </w:r>
    </w:p>
    <w:p>
      <w:pPr>
        <w:spacing w:after="0" w:line="16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has elected, for all classes of underlying assets, not to recognize ROU assets and lease liabilities for leases with a term of 12 months or less. Lease cost for short-term leases is recognized on a straight-line basis over the lease term. The Company estimates its incremental borrowing rate based on the rate of interest that the Company would have to pay to borrow on a collateralized basis over a similar term, an amount equal to the lease payments in a similar economic environment.</w:t>
      </w:r>
    </w:p>
    <w:p>
      <w:pPr>
        <w:spacing w:after="0" w:line="13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Variable lease payments are expensed as incurred and do not factor into the measurement of the applicable ROU asset or lease liability. Lease payments may be fixed or variable; however, only fixed payments are included in the Company’s lease liability calculation. Lease costs for the Company’s operating leases are recognized on a straight-line basis within operating expenses over the lease term. The Company’s lease agreements may contain non-lease components such as common area maintenance, operating expenses or other costs, which are expensed as incurred for all classes of assets. The Company’s leases do not contain any residual value guarantees. See Note 8 for further information below.</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Adopted</w:t>
      </w:r>
    </w:p>
    <w:p>
      <w:pPr>
        <w:spacing w:after="0" w:line="20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(Topics 740): Improvements to Income Tax Disclosures” to expand the disclosure requirements for income taxes, specifically related to the rate reconciliation and income taxes paid. ASU 2023-09 is effective for annual periods beginning after December 15, 2025, with early adoption permitted. The Company adopted ASU 2023-09 for the year ended December 31, 2025, and applied the new disclosure requirements prospectively. The adoption of this standard did not have a material impact on the Company's consolidated financial statements and disclosures. For additional information, see Note 12.</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89"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The amendments in this update require disclosure, in the notes to the consolidated financial statements, of specific expense categories present within expense captions presented on the face of the income statement within continuing operations of public business entities.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984885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5" w:name="page96"/>
    <w:bookmarkEnd w:id="95"/>
    <w:p>
      <w:pPr>
        <w:spacing w:after="0" w:line="282" w:lineRule="auto"/>
        <w:rPr>
          <w:sz w:val="20"/>
          <w:szCs w:val="20"/>
          <w:color w:val="auto"/>
        </w:rPr>
      </w:pPr>
      <w:r>
        <w:rPr>
          <w:rFonts w:ascii="Times New Roman" w:cs="Times New Roman" w:eastAsia="Times New Roman" w:hAnsi="Times New Roman"/>
          <w:sz w:val="18"/>
          <w:szCs w:val="18"/>
          <w:color w:val="auto"/>
        </w:rPr>
        <w:t>amendments in this update are effective for annual periods beginning after December 15, 2026 and interim periods beginning after December 15, 2027. The Company is currently evaluating the impact of this ASU 2024-03 on its consolidated financial statements and related disclosures.</w:t>
      </w:r>
    </w:p>
    <w:p>
      <w:pPr>
        <w:spacing w:after="0" w:line="108" w:lineRule="exact"/>
        <w:rPr>
          <w:sz w:val="20"/>
          <w:szCs w:val="20"/>
          <w:color w:val="auto"/>
        </w:rPr>
      </w:pPr>
    </w:p>
    <w:p>
      <w:pPr>
        <w:ind w:right="20" w:firstLine="405"/>
        <w:spacing w:after="0"/>
        <w:rPr>
          <w:sz w:val="20"/>
          <w:szCs w:val="20"/>
          <w:color w:val="auto"/>
        </w:rPr>
      </w:pPr>
      <w:r>
        <w:rPr>
          <w:rFonts w:ascii="Times New Roman" w:cs="Times New Roman" w:eastAsia="Times New Roman" w:hAnsi="Times New Roman"/>
          <w:sz w:val="18"/>
          <w:szCs w:val="18"/>
          <w:color w:val="auto"/>
        </w:rPr>
        <w:t>In September 2025, the FASB issued ASU No. 2025-07, Derivatives and Hedging and Revenue from Contracts with Customers - Derivatives Scope Refinements and Scope Clarification for Share-Based Noncash Consideration from a Customer in a Revenue Contract (“ASC 2025-07”) which applies to all entities that enter into non-exchange-traded contracts with underlyings based on operations or activities specific to one of the parties to the contract. The new guidance excludes from derivative accounting non-exchange-traded contracts with underlyings that are based on operations or activities specific to one of the parties to the contract. ASU 2025-07 is effective for annual reporting periods beginning after December 15, 2026, and interim reporting periods within those annual reporting periods. Early adoption is permitted. The Company does not expect adoption of ASU 2025-07 to have a material impact on its consolidated financial statements and related disclosures.</w:t>
      </w:r>
    </w:p>
    <w:p>
      <w:pPr>
        <w:spacing w:after="0" w:line="15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A variety of proposed or otherwise potential accounting standards are currently being studied by standard-setting organizations and certain regulatory agencies. Because of the tentative and preliminary nature of such proposed standards, the Company has not yet determined the effect, if any, that the implementation of such proposed standards would have on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Reporting</w:t>
      </w:r>
    </w:p>
    <w:p>
      <w:pPr>
        <w:spacing w:after="0" w:line="202"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Company manages its business activities on a consolidated basis and has one reportable segment relating to the research and development of its novel therapies. The Chief Executive Officer, who serves as the Company’s chief operating decision maker (“CODM”), is responsible for the overall supervision, direction, and management of the business and its officers.</w:t>
      </w:r>
    </w:p>
    <w:p>
      <w:pPr>
        <w:spacing w:after="0" w:line="135" w:lineRule="exact"/>
        <w:rPr>
          <w:sz w:val="20"/>
          <w:szCs w:val="20"/>
          <w:color w:val="auto"/>
        </w:rPr>
      </w:pPr>
    </w:p>
    <w:p>
      <w:pPr>
        <w:ind w:right="200" w:firstLine="405"/>
        <w:spacing w:after="0" w:line="289" w:lineRule="auto"/>
        <w:rPr>
          <w:sz w:val="20"/>
          <w:szCs w:val="20"/>
          <w:color w:val="auto"/>
        </w:rPr>
      </w:pPr>
      <w:r>
        <w:rPr>
          <w:rFonts w:ascii="Times New Roman" w:cs="Times New Roman" w:eastAsia="Times New Roman" w:hAnsi="Times New Roman"/>
          <w:sz w:val="17"/>
          <w:szCs w:val="17"/>
          <w:color w:val="auto"/>
        </w:rPr>
        <w:t>The CODM reviews net loss, as reported in the consolidated statements of operations and comprehensive loss, as well as the progress of the Company’s program(s). The CODM does not review assets in evaluating the results of the segment, and therefore, such information is not presented. All long-lived assets owned by the Company are located the United States. The accounting policies of the segment are the same as those described in Note 2.</w:t>
      </w:r>
    </w:p>
    <w:p>
      <w:pPr>
        <w:spacing w:after="0" w:line="117" w:lineRule="exact"/>
        <w:rPr>
          <w:sz w:val="20"/>
          <w:szCs w:val="20"/>
          <w:color w:val="auto"/>
        </w:rPr>
      </w:pPr>
    </w:p>
    <w:p>
      <w:pPr>
        <w:ind w:right="220" w:firstLine="405"/>
        <w:spacing w:after="0" w:line="279" w:lineRule="auto"/>
        <w:rPr>
          <w:sz w:val="20"/>
          <w:szCs w:val="20"/>
          <w:color w:val="auto"/>
        </w:rPr>
      </w:pPr>
      <w:r>
        <w:rPr>
          <w:rFonts w:ascii="Times New Roman" w:cs="Times New Roman" w:eastAsia="Times New Roman" w:hAnsi="Times New Roman"/>
          <w:sz w:val="18"/>
          <w:szCs w:val="18"/>
          <w:color w:val="auto"/>
        </w:rPr>
        <w:t>The following table is a summary of the segment loss, including significant segment expenses for the years ended December 31, 2025 and 2024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6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4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Pr>
          <w:p>
            <w:pPr>
              <w:spacing w:after="0"/>
              <w:rPr>
                <w:sz w:val="20"/>
                <w:szCs w:val="20"/>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AXN-2510/IMM2510</w:t>
            </w:r>
          </w:p>
        </w:tc>
        <w:tc>
          <w:tcPr>
            <w:tcW w:w="1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20,351</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7"/>
        </w:trPr>
        <w:tc>
          <w:tcPr>
            <w:tcW w:w="6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program expenses</w:t>
            </w:r>
            <w:r>
              <w:rPr>
                <w:rFonts w:ascii="Times New Roman" w:cs="Times New Roman" w:eastAsia="Times New Roman" w:hAnsi="Times New Roman"/>
                <w:sz w:val="23"/>
                <w:szCs w:val="23"/>
                <w:color w:val="auto"/>
                <w:vertAlign w:val="superscript"/>
              </w:rPr>
              <w:t>(1) (2)</w:t>
            </w:r>
          </w:p>
        </w:tc>
        <w:tc>
          <w:tcPr>
            <w:tcW w:w="14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w:t>
            </w:r>
          </w:p>
        </w:tc>
      </w:tr>
      <w:tr>
        <w:trPr>
          <w:trHeight w:val="27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26,687</w:t>
            </w: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41,246</w:t>
            </w: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w:t>
            </w:r>
          </w:p>
        </w:tc>
      </w:tr>
      <w:tr>
        <w:trPr>
          <w:trHeight w:val="27"/>
        </w:trPr>
        <w:tc>
          <w:tcPr>
            <w:tcW w:w="6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r>
      <w:tr>
        <w:trPr>
          <w:trHeight w:val="27"/>
        </w:trPr>
        <w:tc>
          <w:tcPr>
            <w:tcW w:w="6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37"/>
        </w:trPr>
        <w:tc>
          <w:tcPr>
            <w:tcW w:w="6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Segment net loss</w:t>
            </w:r>
          </w:p>
        </w:tc>
        <w:tc>
          <w:tcPr>
            <w:tcW w:w="1440" w:type="dxa"/>
            <w:vAlign w:val="bottom"/>
            <w:tcBorders>
              <w:top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71,372</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74,135</w:t>
            </w:r>
          </w:p>
        </w:tc>
      </w:tr>
      <w:tr>
        <w:trPr>
          <w:trHeight w:val="27"/>
        </w:trPr>
        <w:tc>
          <w:tcPr>
            <w:tcW w:w="68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68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w:t>
      </w:r>
    </w:p>
    <w:p>
      <w:pPr>
        <w:spacing w:after="0" w:line="14" w:lineRule="exact"/>
        <w:rPr>
          <w:sz w:val="20"/>
          <w:szCs w:val="20"/>
          <w:color w:val="auto"/>
        </w:rPr>
      </w:pPr>
    </w:p>
    <w:p>
      <w:pPr>
        <w:ind w:left="400" w:hanging="392"/>
        <w:spacing w:after="0"/>
        <w:tabs>
          <w:tab w:leader="none" w:pos="4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is removed from both “General and administrative” and “Other program expense” and is disclosed separately.</w:t>
      </w:r>
    </w:p>
    <w:p>
      <w:pPr>
        <w:spacing w:after="0" w:line="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program expenses consist of costs related to the Company’s past development of its CoStAR-TIL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6" w:name="page97"/>
    <w:bookmarkEnd w:id="96"/>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tc>
        <w:tc>
          <w:tcPr>
            <w:tcW w:w="1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8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Prepaid and other current assets</w:t>
            </w: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(in thousands):</w:t>
            </w: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general and administrative</w:t>
            </w: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Tax-related receivable</w:t>
            </w:r>
          </w:p>
        </w:tc>
        <w:tc>
          <w:tcPr>
            <w:tcW w:w="1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contract research organization expenses</w:t>
            </w:r>
          </w:p>
        </w:tc>
        <w:tc>
          <w:tcPr>
            <w:tcW w:w="1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37"/>
        </w:trPr>
        <w:tc>
          <w:tcPr>
            <w:tcW w:w="6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1480" w:type="dxa"/>
            <w:vAlign w:val="bottom"/>
            <w:tcBorders>
              <w:top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0" w:type="dxa"/>
            <w:vAlign w:val="bottom"/>
          </w:tcPr>
          <w:p>
            <w:pPr>
              <w:spacing w:after="0"/>
              <w:rPr>
                <w:sz w:val="1"/>
                <w:szCs w:val="1"/>
                <w:color w:val="auto"/>
              </w:rPr>
            </w:pPr>
          </w:p>
        </w:tc>
      </w:tr>
      <w:tr>
        <w:trPr>
          <w:trHeight w:val="27"/>
        </w:trPr>
        <w:tc>
          <w:tcPr>
            <w:tcW w:w="68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820" w:type="dxa"/>
            <w:vAlign w:val="bottom"/>
            <w:vMerge w:val="continue"/>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8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(in thousands):</w:t>
            </w: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31,243</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148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102,433</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computer equipment</w:t>
            </w:r>
          </w:p>
        </w:tc>
        <w:tc>
          <w:tcPr>
            <w:tcW w:w="14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37"/>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14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134,185</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0" w:type="dxa"/>
            <w:vAlign w:val="bottom"/>
          </w:tcPr>
          <w:p>
            <w:pPr>
              <w:spacing w:after="0"/>
              <w:rPr>
                <w:sz w:val="1"/>
                <w:szCs w:val="1"/>
                <w:color w:val="auto"/>
              </w:rPr>
            </w:pPr>
          </w:p>
        </w:tc>
      </w:tr>
      <w:tr>
        <w:trPr>
          <w:trHeight w:val="237"/>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480" w:type="dxa"/>
            <w:vAlign w:val="bottom"/>
            <w:tcBorders>
              <w:top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129,406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expense was $0.5 million and $3.6 million for the years ended December 31, 2025 and 2024, respectively, in the consolidated statements of operations and comprehensive loss.</w:t>
      </w:r>
    </w:p>
    <w:p>
      <w:pPr>
        <w:spacing w:after="0" w:line="121" w:lineRule="exact"/>
        <w:rPr>
          <w:sz w:val="20"/>
          <w:szCs w:val="20"/>
          <w:color w:val="auto"/>
        </w:rPr>
      </w:pPr>
    </w:p>
    <w:p>
      <w:pPr>
        <w:ind w:right="220" w:firstLine="405"/>
        <w:spacing w:after="0" w:line="255" w:lineRule="auto"/>
        <w:rPr>
          <w:sz w:val="20"/>
          <w:szCs w:val="20"/>
          <w:color w:val="auto"/>
        </w:rPr>
      </w:pPr>
      <w:r>
        <w:rPr>
          <w:rFonts w:ascii="Times New Roman" w:cs="Times New Roman" w:eastAsia="Times New Roman" w:hAnsi="Times New Roman"/>
          <w:sz w:val="18"/>
          <w:szCs w:val="18"/>
          <w:color w:val="auto"/>
        </w:rPr>
        <w:t>As of December 31, 2025, the Company had $112.1 million in assets related to the Tarzana facility on the consolidated balance sheet meeting the criteria of held for sale assets. These assets are recognized at the lower of cost or fair value less costs to sell. The Company estimates the fair value of the Tarzana facility through a combination of an income-based approach and a market-based approach. The income-based approach is dependent on specific assumptions such as market rental rates, capitalization rates and discount rates. The market-based approach utilizes observable data such as comparable building sales. The fair value of these assets are classified as Level 3 in the fair value hierarchy due to a mix of unobservable inputs utilized such as proprietary independent research in the market as well as actual quotes from market participants. The Company recognized impairment of $16.6 million and nil related to the Tarzana facility during the years ended December 31, 2025 and 2024, respectively.</w:t>
      </w:r>
    </w:p>
    <w:p>
      <w:pPr>
        <w:spacing w:after="0" w:line="162"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recognized non-cash impairment charges of nil and $4.3 million related to United Kingdom equipment impairments during the years ended December 31,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1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05"/>
        </w:trPr>
        <w:tc>
          <w:tcPr>
            <w:tcW w:w="6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68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tcPr>
          <w:p>
            <w:pPr>
              <w:spacing w:after="0"/>
              <w:rPr>
                <w:sz w:val="23"/>
                <w:szCs w:val="23"/>
                <w:color w:val="auto"/>
              </w:rPr>
            </w:pPr>
          </w:p>
        </w:tc>
      </w:tr>
      <w:tr>
        <w:trPr>
          <w:trHeight w:val="27"/>
        </w:trPr>
        <w:tc>
          <w:tcPr>
            <w:tcW w:w="68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8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operational expenses</w:t>
            </w:r>
          </w:p>
        </w:tc>
        <w:tc>
          <w:tcPr>
            <w:tcW w:w="1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7"/>
        </w:trPr>
        <w:tc>
          <w:tcPr>
            <w:tcW w:w="6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1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development and clinical trial expenses</w:t>
            </w:r>
          </w:p>
        </w:tc>
        <w:tc>
          <w:tcPr>
            <w:tcW w:w="1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7"/>
        </w:trPr>
        <w:tc>
          <w:tcPr>
            <w:tcW w:w="6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r>
      <w:tr>
        <w:trPr>
          <w:trHeight w:val="237"/>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80" w:type="dxa"/>
            <w:vAlign w:val="bottom"/>
            <w:tcBorders>
              <w:top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7,237</w:t>
            </w:r>
          </w:p>
        </w:tc>
      </w:tr>
      <w:tr>
        <w:trPr>
          <w:trHeight w:val="27"/>
        </w:trPr>
        <w:tc>
          <w:tcPr>
            <w:tcW w:w="68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8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w:t>
      </w:r>
    </w:p>
    <w:p>
      <w:pPr>
        <w:spacing w:after="0" w:line="20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fair value of cash and cash equivalents approximates carrying value since cash and cash equivalents consist of short-term highly liquid investments with maturities of less than three months at the time of purchase. Cash and cash equivalents are valued based upon quoted market prices in active markets for identical assets and are therefore classified as Level 1 assets. Money market funds are open-end mutual funds that invest in cash, government securities, and/or repurchase agreements that are collateralized fully. To the extent that these funds are valued based upon the reported net asset value, they are categorized in Level 1 of the fair value hierarchy.</w:t>
      </w:r>
    </w:p>
    <w:p>
      <w:pPr>
        <w:spacing w:after="0" w:line="143"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Short-term marketable securities consisted of U.S. Treasury bills that are classified within Level 2 of the fair value hierarchy are valued based on other observable inputs, including broker or dealer quotations, alternative pricing sources or U.S. Government Treasury yield of appropriate term.</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and nonrecurring basis: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6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tcPr>
          <w:p>
            <w:pPr>
              <w:spacing w:after="0"/>
              <w:rPr>
                <w:sz w:val="21"/>
                <w:szCs w:val="21"/>
                <w:color w:val="auto"/>
              </w:rPr>
            </w:pP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r>
      <w:tr>
        <w:trPr>
          <w:trHeight w:val="27"/>
        </w:trPr>
        <w:tc>
          <w:tcPr>
            <w:tcW w:w="3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1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69,491</w:t>
            </w:r>
          </w:p>
        </w:tc>
      </w:tr>
      <w:tr>
        <w:trPr>
          <w:trHeight w:val="263"/>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69,491</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73,830</w:t>
            </w:r>
          </w:p>
        </w:tc>
      </w:tr>
      <w:tr>
        <w:trPr>
          <w:trHeight w:val="21"/>
        </w:trPr>
        <w:tc>
          <w:tcPr>
            <w:tcW w:w="3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w:t>
            </w:r>
          </w:p>
        </w:tc>
      </w:tr>
      <w:tr>
        <w:trPr>
          <w:trHeight w:val="27"/>
        </w:trPr>
        <w:tc>
          <w:tcPr>
            <w:tcW w:w="3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1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104,510</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104,510</w:t>
            </w:r>
          </w:p>
        </w:tc>
      </w:tr>
      <w:tr>
        <w:trPr>
          <w:trHeight w:val="263"/>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104,510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110,142</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7"/>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r>
      <w:tr>
        <w:trPr>
          <w:trHeight w:val="27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1"/>
        </w:trPr>
        <w:tc>
          <w:tcPr>
            <w:tcW w:w="37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There were no transfers in or out of Level 1, 2 and 3 measurements for the years ended December 31, 2025 and 2024. As of December 31, 2025 and 2024, there were no securities within Level 3 of the fair value hierarchy. As of December 31, 2024, the contingent consideration was within Level 3 of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984885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fair value of the 2024 Loan (as defined in Note 8) was $85.5 million and $84.7 million, respectively. The fair value was determined on the basis of its net present value and is considered Level 2 in the fair value hierarchy.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Company’s Level 3 financial liabilities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3 Financial Liabilities</w:t>
            </w:r>
          </w:p>
        </w:tc>
      </w:tr>
      <w:tr>
        <w:trPr>
          <w:trHeight w:val="27"/>
        </w:trPr>
        <w:tc>
          <w:tcPr>
            <w:tcW w:w="8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43"/>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balance as of December 31, 2023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r>
      <w:tr>
        <w:trPr>
          <w:trHeight w:val="243"/>
        </w:trPr>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27"/>
        </w:trPr>
        <w:tc>
          <w:tcPr>
            <w:tcW w:w="8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43"/>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ending balance as of December 31, 2024</w:t>
            </w:r>
          </w:p>
        </w:tc>
        <w:tc>
          <w:tcPr>
            <w:tcW w:w="1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43"/>
        </w:trPr>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7"/>
        </w:trPr>
        <w:tc>
          <w:tcPr>
            <w:tcW w:w="8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88"/>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ending balance as of December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The Company’s acquisition of Immetacyte involved the potential for the payment of future contingent consideration upon the achievement of (i) certain product development milestones including, approval of studies and commencement and completion of certain product trials, or (ii) various other performance conditions including, receipt of final approval for the first marketing authorization and first commercial sale in certain geographical markets.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research and development expense in the consolidated statements of operations and comprehensive loss.</w:t>
      </w:r>
    </w:p>
    <w:p>
      <w:pPr>
        <w:spacing w:after="0" w:line="16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During the year of acquisition, the Company determined the fair value of the contingent consideration by probability weighting scenarios of milestone achievements to determine the expected future contingent consideration payment, discounted to present value using an 8% discount rate based on the Company’s pre-tax cost of debt on the acquisition date. The probability of payments was 0% and 5% as of December 31, 2025 and 2024, respectively. Determinations of the likelihood of milestone achievements, which trigger payouts related to the contingent consideration, as well as the probabilities for various scenarios used in the Company’s calculations, were based on internal unobservable projections.</w:t>
      </w:r>
    </w:p>
    <w:p>
      <w:pPr>
        <w:spacing w:after="0" w:line="143"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change in fair value related to the contingent consideration was due to the discontinuation of the ITIL-306-202 development program, the change in present value for the passage of time, as well as expected dates and probabilities of milestone achievement revisions.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Financial Instruments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Marketable securities classified as available-for-sale on December 31, 2025 and 2024 consisted of the following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23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4"/>
        </w:trPr>
        <w:tc>
          <w:tcPr>
            <w:tcW w:w="2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2360" w:type="dxa"/>
            <w:vAlign w:val="bottom"/>
          </w:tcPr>
          <w:p>
            <w:pPr>
              <w:spacing w:after="0"/>
              <w:rPr>
                <w:sz w:val="20"/>
                <w:szCs w:val="20"/>
                <w:color w:val="auto"/>
              </w:rPr>
            </w:pPr>
          </w:p>
        </w:tc>
        <w:tc>
          <w:tcPr>
            <w:tcW w:w="246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7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11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236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69,439</w:t>
            </w:r>
          </w:p>
        </w:tc>
        <w:tc>
          <w:tcPr>
            <w:tcW w:w="110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69,491</w:t>
            </w:r>
          </w:p>
        </w:tc>
      </w:tr>
      <w:tr>
        <w:trPr>
          <w:trHeight w:val="540"/>
        </w:trPr>
        <w:tc>
          <w:tcPr>
            <w:tcW w:w="2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23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4"/>
        </w:trPr>
        <w:tc>
          <w:tcPr>
            <w:tcW w:w="2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2360" w:type="dxa"/>
            <w:vAlign w:val="bottom"/>
          </w:tcPr>
          <w:p>
            <w:pPr>
              <w:spacing w:after="0"/>
              <w:rPr>
                <w:sz w:val="20"/>
                <w:szCs w:val="20"/>
                <w:color w:val="auto"/>
              </w:rPr>
            </w:pPr>
          </w:p>
        </w:tc>
        <w:tc>
          <w:tcPr>
            <w:tcW w:w="246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7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11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236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104,445</w:t>
            </w:r>
          </w:p>
        </w:tc>
        <w:tc>
          <w:tcPr>
            <w:tcW w:w="110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104,510</w:t>
            </w:r>
          </w:p>
        </w:tc>
      </w:tr>
      <w:tr>
        <w:trPr>
          <w:trHeight w:val="1519"/>
        </w:trPr>
        <w:tc>
          <w:tcPr>
            <w:tcW w:w="23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9" w:name="page100"/>
    <w:bookmarkEnd w:id="99"/>
    <w:p>
      <w:pPr>
        <w:spacing w:after="0" w:line="153"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2025 and 2024, marketable securities that had contractual maturities less than one year are classified as current because management considers these marketable securities to be available for current operations. The Company does not intend to sell its marketable securities and it is not likely that the Company will be required to sell these securities before recovery of their amortized cost basis. There were $69.5 million and $104.5 million of marketable securities classified as available-for-sale as of December 31, 2025 and December 31, 2024,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and Collaboration Agreement with ImmuneOnco</w:t>
      </w:r>
    </w:p>
    <w:p>
      <w:pPr>
        <w:spacing w:after="0" w:line="20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August 1, 2024, Axion Bio entered into the license and collaboration agreement with ImmuneOnco (the “IO Collaboration Agreement”). As part of this agreement, Axion Bio made a $10.0 million upfront payment to ImmuneOnco during the year ended December 31, 2024. This amount was fully expensed as in-process research and development (IPR&amp;D) in the same year.</w:t>
      </w:r>
    </w:p>
    <w:p>
      <w:pPr>
        <w:spacing w:after="0" w:line="13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Axion Bio made a $5.0 million prepayment to ImmuneOnco for development costs, which was fully expensed in research and development as of March 31, 2025. A second $5.0 million prepayment for development costs was made to ImmuneOnco in April 2025, which was fully expensed in research and development as of September 30, 2025. A third $5.0 million prepayment to ImmuneOnco for development costs was made in August 2025. This amount was partially expensed under research and development, with a remaining prepaid balance of $0.3 million recorded as of December 31, 2025.</w:t>
      </w:r>
    </w:p>
    <w:p>
      <w:pPr>
        <w:spacing w:after="0" w:line="143" w:lineRule="exact"/>
        <w:rPr>
          <w:sz w:val="20"/>
          <w:szCs w:val="20"/>
          <w:color w:val="auto"/>
        </w:rPr>
      </w:pPr>
    </w:p>
    <w:p>
      <w:pPr>
        <w:ind w:right="480" w:firstLine="405"/>
        <w:spacing w:after="0" w:line="266" w:lineRule="auto"/>
        <w:rPr>
          <w:sz w:val="20"/>
          <w:szCs w:val="20"/>
          <w:color w:val="auto"/>
        </w:rPr>
      </w:pPr>
      <w:r>
        <w:rPr>
          <w:rFonts w:ascii="Times New Roman" w:cs="Times New Roman" w:eastAsia="Times New Roman" w:hAnsi="Times New Roman"/>
          <w:sz w:val="18"/>
          <w:szCs w:val="18"/>
          <w:color w:val="auto"/>
        </w:rPr>
        <w:t>In June 2025, Axion Bio achieved Investigational New Drug (IND) clearance in the United States for a Phase 1 trial of AXN-2510 in relapsed/refractory solid tumors. This milestone triggered a $10.0 million development payment to ImmuneOnco, which was paid in July 2025. This amount was fully expensed as IPR&amp;D during the second quarter of 2025.</w:t>
      </w:r>
    </w:p>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expenses recognized in connection with the IO Collaboration Agreement were $23.8 million and $10.0 million for the year ended December 31,</w:t>
      </w:r>
    </w:p>
    <w:p>
      <w:pPr>
        <w:spacing w:after="0" w:line="27"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7"/>
          <w:szCs w:val="17"/>
          <w:color w:val="auto"/>
        </w:rPr>
        <w:t>2025 and 2024, respectively, and were recorded as a component of research and development expense on the consolidated statements of operations and comprehensive loss. As of December 31, 2025, no additional milestones had been accrued as the underlying contingencies had not yet been resolved.</w:t>
      </w:r>
    </w:p>
    <w:p>
      <w:pPr>
        <w:spacing w:after="0" w:line="117"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Under the IO Collaboration Agreement, ImmuneOnco was eligible to receive additional potential near-term payments of up to $15.0 million, up to $2.1 billion in commercial, development and regulatory milestones (including up to $270.0 million in longer term development and regulatory milestones and up to $1.8 billion in commercial milestones) plus single-digit to low double-digit percentage royalties on global net sales of the licensed products outside of Greater China. On January 5, 2026, Axion Bio and ImmuneOnco entered into an agreement terminating the IO Collaboration Agreement. Under the termination agreement, Axion Bio agreed to transfer the rights, title, and interest related to AXN-2510 and AXN-27M to ImmuneOnco, and ImmuneOnco agreed to pay Axion Bio $1.8 million.</w:t>
      </w:r>
    </w:p>
    <w:p>
      <w:pPr>
        <w:spacing w:after="0" w:line="291" w:lineRule="exact"/>
        <w:rPr>
          <w:sz w:val="20"/>
          <w:szCs w:val="20"/>
          <w:color w:val="auto"/>
        </w:rPr>
      </w:pPr>
    </w:p>
    <w:p>
      <w:pPr>
        <w:ind w:left="420" w:right="8440" w:hanging="412"/>
        <w:spacing w:after="0" w:line="461" w:lineRule="auto"/>
        <w:tabs>
          <w:tab w:leader="none" w:pos="19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Leases</w:t>
      </w:r>
    </w:p>
    <w:p>
      <w:pPr>
        <w:spacing w:after="0" w:line="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Company as a Lessee: Operating Lease Obligations</w:t>
      </w:r>
    </w:p>
    <w:p>
      <w:pPr>
        <w:spacing w:after="0" w:line="18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Company currently leases office spaces and laboratory spaces located in Dallas, Texas and Alderley Park in the United Kingdom. During April 2025, the Company terminated its prior lease in Thousand Oaks, California. The Company’s leased facilities have original lease terms ranging from 2 to 5 years that in general require the Company to provide a security deposit. Certain leases provide the right for the Company to renew the lease upon the expiration of the initial lease term, and various leases have scheduled rent increases on an annual basis. The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978535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0" w:name="page101"/>
    <w:bookmarkEnd w:id="100"/>
    <w:p>
      <w:pPr>
        <w:ind w:right="40"/>
        <w:spacing w:after="0" w:line="282" w:lineRule="auto"/>
        <w:rPr>
          <w:sz w:val="20"/>
          <w:szCs w:val="20"/>
          <w:color w:val="auto"/>
        </w:rPr>
      </w:pPr>
      <w:r>
        <w:rPr>
          <w:rFonts w:ascii="Times New Roman" w:cs="Times New Roman" w:eastAsia="Times New Roman" w:hAnsi="Times New Roman"/>
          <w:sz w:val="18"/>
          <w:szCs w:val="18"/>
          <w:color w:val="auto"/>
        </w:rPr>
        <w:t>of lease renewal options for the Company’s existing leases is at the Company’s sole discretion, and not included in the measurement of right-of-use asset or lease liability as they are not reasonably certain to be exercised.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Company’s lease costs consisted of the following (in thousands):</w:t>
            </w:r>
          </w:p>
        </w:tc>
        <w:tc>
          <w:tcPr>
            <w:tcW w:w="1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0"/>
        </w:trPr>
        <w:tc>
          <w:tcPr>
            <w:tcW w:w="6640" w:type="dxa"/>
            <w:vAlign w:val="bottom"/>
          </w:tcPr>
          <w:p>
            <w:pPr>
              <w:spacing w:after="0"/>
              <w:rPr>
                <w:sz w:val="23"/>
                <w:szCs w:val="23"/>
                <w:color w:val="auto"/>
              </w:rPr>
            </w:pPr>
          </w:p>
        </w:tc>
        <w:tc>
          <w:tcPr>
            <w:tcW w:w="38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20" w:type="dxa"/>
            <w:vAlign w:val="bottom"/>
          </w:tcPr>
          <w:p>
            <w:pPr>
              <w:spacing w:after="0"/>
              <w:rPr>
                <w:sz w:val="23"/>
                <w:szCs w:val="23"/>
                <w:color w:val="auto"/>
              </w:rPr>
            </w:pPr>
          </w:p>
        </w:tc>
      </w:tr>
      <w:tr>
        <w:trPr>
          <w:trHeight w:val="27"/>
        </w:trPr>
        <w:tc>
          <w:tcPr>
            <w:tcW w:w="66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20"/>
                <w:szCs w:val="20"/>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Pr>
          <w:p>
            <w:pPr>
              <w:spacing w:after="0"/>
              <w:rPr>
                <w:sz w:val="20"/>
                <w:szCs w:val="20"/>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600" w:type="dxa"/>
            <w:vAlign w:val="bottom"/>
            <w:tcBorders>
              <w:bottom w:val="single" w:sz="8" w:color="CCEEFF"/>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5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6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7"/>
        </w:trPr>
        <w:tc>
          <w:tcPr>
            <w:tcW w:w="66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8"/>
        </w:trPr>
        <w:tc>
          <w:tcPr>
            <w:tcW w:w="6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600" w:type="dxa"/>
            <w:vAlign w:val="bottom"/>
            <w:tcBorders>
              <w:bottom w:val="single" w:sz="8" w:color="CCEEFF"/>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cash flow information related to the Company’s lease obligations (in thousands):</w:t>
      </w:r>
    </w:p>
    <w:p>
      <w:pPr>
        <w:spacing w:after="0" w:line="59"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36830</wp:posOffset>
            </wp:positionV>
            <wp:extent cx="28975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57" w:lineRule="exact"/>
        <w:rPr>
          <w:sz w:val="20"/>
          <w:szCs w:val="20"/>
          <w:color w:val="auto"/>
        </w:rPr>
      </w:pPr>
    </w:p>
    <w:p>
      <w:pPr>
        <w:ind w:left="7640"/>
        <w:spacing w:after="0"/>
        <w:tabs>
          <w:tab w:leader="none" w:pos="99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9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6680" w:val="left"/>
          <w:tab w:leader="none" w:pos="8480" w:val="left"/>
          <w:tab w:leader="none" w:pos="10740" w:val="left"/>
        </w:tabs>
        <w:rPr>
          <w:sz w:val="20"/>
          <w:szCs w:val="20"/>
          <w:color w:val="auto"/>
        </w:rPr>
      </w:pPr>
      <w:r>
        <w:rPr>
          <w:rFonts w:ascii="Times New Roman" w:cs="Times New Roman" w:eastAsia="Times New Roman" w:hAnsi="Times New Roman"/>
          <w:sz w:val="18"/>
          <w:szCs w:val="18"/>
          <w:color w:val="auto"/>
        </w:rPr>
        <w:t>Cash paid for operating lease liabilities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1,545 $</w:t>
      </w:r>
      <w:r>
        <w:rPr>
          <w:sz w:val="20"/>
          <w:szCs w:val="20"/>
          <w:color w:val="auto"/>
        </w:rPr>
        <w:tab/>
      </w:r>
      <w:r>
        <w:rPr>
          <w:rFonts w:ascii="Times New Roman" w:cs="Times New Roman" w:eastAsia="Times New Roman" w:hAnsi="Times New Roman"/>
          <w:sz w:val="17"/>
          <w:szCs w:val="17"/>
          <w:color w:val="auto"/>
        </w:rPr>
        <w:t>2,279</w:t>
      </w:r>
    </w:p>
    <w:p>
      <w:pPr>
        <w:spacing w:after="0" w:line="3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Company’s lease assets and liabilities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4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6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560" w:type="dxa"/>
            <w:vAlign w:val="bottom"/>
            <w:tcBorders>
              <w:bottom w:val="single" w:sz="8" w:color="CCEEFF"/>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78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5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7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r>
      <w:tr>
        <w:trPr>
          <w:trHeight w:val="27"/>
        </w:trPr>
        <w:tc>
          <w:tcPr>
            <w:tcW w:w="6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5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7"/>
        </w:trPr>
        <w:tc>
          <w:tcPr>
            <w:tcW w:w="66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other supplemental information related to the Company’s lease obligations:</w:t>
      </w:r>
    </w:p>
    <w:p>
      <w:pPr>
        <w:spacing w:after="0" w:line="59"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36830</wp:posOffset>
            </wp:positionV>
            <wp:extent cx="30346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Pr>
          <w:p>
            <w:pPr>
              <w:spacing w:after="0"/>
              <w:rPr>
                <w:sz w:val="20"/>
                <w:szCs w:val="20"/>
                <w:color w:val="auto"/>
              </w:rPr>
            </w:pPr>
          </w:p>
        </w:tc>
        <w:tc>
          <w:tcPr>
            <w:tcW w:w="190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46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6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0.70</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4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6.75 %</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r>
    </w:tbl>
    <w:p>
      <w:pPr>
        <w:spacing w:after="0" w:line="279"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operating lease liabilities were $0.4 million as of December 31, 2025 which are recorded in the line item “accrued expenses and other current liabilities” in the consolidated balance sheet.</w:t>
      </w:r>
    </w:p>
    <w:p>
      <w:pPr>
        <w:spacing w:after="0" w:line="13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evaluated its remaining right-of-use assets for impairment, as the Plan (as defined below in Note 13) has resulted in a cessation of use for the United Kingdom locations. The Company determined these assets were impaired and recognized an impairment loss of nil and $0.8 million for the years ended December 31, 2025 and 2024, respectively, which are recorded in the line item “restructuring and impairment charges” in the consolidated statements of operations and comprehensive loss.</w:t>
      </w:r>
    </w:p>
    <w:p>
      <w:pPr>
        <w:spacing w:after="0" w:line="13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Company’s Subsidiary as a Lessor: Tarzana Facility Lease with AstraZeneca</w:t>
      </w:r>
    </w:p>
    <w:p>
      <w:pPr>
        <w:spacing w:after="0" w:line="18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On July 10, 2024, Complex Therapeutics LLC, a wholly owned subsidiary of the Company, entered into a lease with AstraZeneca Pharmaceuticals LP (“Tenant”) pursuant to which Tenant is leasing the facility located in Tarzana, California (the “Lease”). The Lease has an initial term of approximately 15 years, beginning on July 10, 2024 and ending on July 31, 2039, with Tenant having two consecutive options to extend the term for a five-year period each and a one-time option to terminate the Lease on the tenth anniversary of the commencement of the Lease, which, if exercised, obligates Tenant to pay Complex Therapeutics LLC a termination fee. The initial base rent was approximately $0.6 million per month (approximately $7.5 million annually) and the base rent escalates by 3% per annum. Tenant is also required to pay certain operating expenses and tax expenses as additional rent. There was rent abatement during the first year of the Lease such that Tenant paid no rent or reduced rent during this period. Tenant also has a right of first offer to purchase the premises that are subject to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995045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1" w:name="page102"/>
    <w:bookmarkEnd w:id="101"/>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Lease is classified as an operating lease and revenue is recognized on a straight-line basis and is recorded within the consolidated statements of operations and comprehensive loss in the line item “Other rental income” as this is not a part of the Company’s core operations. Rental income related to the Lease was as follows (in thousands):</w:t>
      </w:r>
    </w:p>
    <w:p>
      <w:pPr>
        <w:spacing w:after="0" w:line="10"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36830</wp:posOffset>
            </wp:positionV>
            <wp:extent cx="28975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57" w:lineRule="exact"/>
        <w:rPr>
          <w:sz w:val="20"/>
          <w:szCs w:val="20"/>
          <w:color w:val="auto"/>
        </w:rPr>
      </w:pPr>
    </w:p>
    <w:p>
      <w:pPr>
        <w:ind w:left="7640"/>
        <w:spacing w:after="0"/>
        <w:tabs>
          <w:tab w:leader="none" w:pos="99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80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1" w:lineRule="exact"/>
        <w:rPr>
          <w:sz w:val="20"/>
          <w:szCs w:val="20"/>
          <w:color w:val="auto"/>
        </w:rPr>
      </w:pPr>
    </w:p>
    <w:p>
      <w:pPr>
        <w:ind w:left="20"/>
        <w:spacing w:after="0"/>
        <w:tabs>
          <w:tab w:leader="none" w:pos="6680" w:val="left"/>
          <w:tab w:leader="none" w:pos="8480" w:val="left"/>
          <w:tab w:leader="none" w:pos="10740" w:val="left"/>
        </w:tabs>
        <w:rPr>
          <w:sz w:val="20"/>
          <w:szCs w:val="20"/>
          <w:color w:val="auto"/>
        </w:rPr>
      </w:pPr>
      <w:r>
        <w:rPr>
          <w:rFonts w:ascii="Times New Roman" w:cs="Times New Roman" w:eastAsia="Times New Roman" w:hAnsi="Times New Roman"/>
          <w:sz w:val="18"/>
          <w:szCs w:val="18"/>
          <w:color w:val="auto"/>
        </w:rPr>
        <w:t>Rental income related to fixed lease income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8,968 $</w:t>
      </w:r>
      <w:r>
        <w:rPr>
          <w:sz w:val="20"/>
          <w:szCs w:val="20"/>
          <w:color w:val="auto"/>
        </w:rPr>
        <w:tab/>
      </w:r>
      <w:r>
        <w:rPr>
          <w:rFonts w:ascii="Times New Roman" w:cs="Times New Roman" w:eastAsia="Times New Roman" w:hAnsi="Times New Roman"/>
          <w:sz w:val="17"/>
          <w:szCs w:val="17"/>
          <w:color w:val="auto"/>
        </w:rPr>
        <w:t>4,267</w:t>
      </w:r>
    </w:p>
    <w:p>
      <w:pPr>
        <w:spacing w:after="0" w:line="306" w:lineRule="exact"/>
        <w:rPr>
          <w:sz w:val="20"/>
          <w:szCs w:val="20"/>
          <w:color w:val="auto"/>
        </w:rPr>
      </w:pPr>
    </w:p>
    <w:p>
      <w:pPr>
        <w:ind w:right="540" w:firstLine="405"/>
        <w:spacing w:after="0" w:line="279" w:lineRule="auto"/>
        <w:rPr>
          <w:sz w:val="20"/>
          <w:szCs w:val="20"/>
          <w:color w:val="auto"/>
        </w:rPr>
      </w:pPr>
      <w:r>
        <w:rPr>
          <w:rFonts w:ascii="Times New Roman" w:cs="Times New Roman" w:eastAsia="Times New Roman" w:hAnsi="Times New Roman"/>
          <w:sz w:val="18"/>
          <w:szCs w:val="18"/>
          <w:color w:val="auto"/>
        </w:rPr>
        <w:t>Approximate future straight-lined contractual lease income to be recognized under the lease in effect as of December 31, 2025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8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43"/>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w:t>
            </w: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w:t>
            </w:r>
          </w:p>
        </w:tc>
      </w:tr>
      <w:tr>
        <w:trPr>
          <w:trHeight w:val="27"/>
        </w:trPr>
        <w:tc>
          <w:tcPr>
            <w:tcW w:w="8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w:t>
            </w: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w:t>
            </w:r>
          </w:p>
        </w:tc>
      </w:tr>
      <w:tr>
        <w:trPr>
          <w:trHeight w:val="27"/>
        </w:trPr>
        <w:tc>
          <w:tcPr>
            <w:tcW w:w="8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w:t>
            </w: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76,974</w:t>
            </w:r>
          </w:p>
        </w:tc>
      </w:tr>
      <w:tr>
        <w:trPr>
          <w:trHeight w:val="27"/>
        </w:trPr>
        <w:tc>
          <w:tcPr>
            <w:tcW w:w="8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89"/>
        </w:trPr>
        <w:tc>
          <w:tcPr>
            <w:tcW w:w="8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121,814</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Differences between rental income earned and amounts due per the Lease is capitalized or charged, as applicable, to accrued rent receivable. As of December 31, 2025 and December 31, 2024, the Company had accrued rent receivable of $7.7 million and $4.3 million, respectively.</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0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 Company does not expect that the resolution of these matters will have a material adverse effect on its financial position, results of operations or cash flows.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June 2022, the Company’s wholly owned subsidiaries, Complex Therapeutics Mezzanine LLC and Complex Therapeutics LLC entered into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 construction loan and mezzanine construction loan (together, the “Construction Loans”) secured by Complex Therapeutic LLC's Tarzana,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land and building. The initial principal amount of the Construction Loans was $52.1 million, with additional future principal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$32.9 million to fund ongoing construction costs. The Construction Loans were guaranteed by the Company and bore interest at the one-month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Overnight Financing Rate, plus 5.25% per annum. On July 10, 2024, Complex Therapeutics LLC entered into the Lease. On December 20, 2024, Complex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Therapeutics LLC refinanced the outstanding principal amount under the Construction Loans and the Company treated it as a loan extinguishment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purposes and recorded the $0.4 million of unamortized debt issuance costs associated with the Construction Loans as a loss on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extinguishment recognized in other expense, net in the consolidated statements of operations and comprehensive loss for the year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80" w:lineRule="exact"/>
        <w:rPr>
          <w:sz w:val="20"/>
          <w:szCs w:val="20"/>
          <w:color w:val="auto"/>
        </w:rPr>
      </w:pPr>
    </w:p>
    <w:p>
      <w:pPr>
        <w:jc w:val="both"/>
        <w:ind w:right="440" w:firstLine="405"/>
        <w:spacing w:after="0" w:line="258" w:lineRule="auto"/>
        <w:rPr>
          <w:sz w:val="20"/>
          <w:szCs w:val="20"/>
          <w:color w:val="auto"/>
        </w:rPr>
      </w:pPr>
      <w:r>
        <w:rPr>
          <w:rFonts w:ascii="Times New Roman" w:cs="Times New Roman" w:eastAsia="Times New Roman" w:hAnsi="Times New Roman"/>
          <w:sz w:val="18"/>
          <w:szCs w:val="18"/>
          <w:color w:val="auto"/>
        </w:rPr>
        <w:t>On December 20, 2024, Complex Therapeutics LLC entered into a Term Loan Agreement (the “2024 Loan”) and related loan documents with Midland National Life Insurance Company (“Midland”), pursuant to which Midland loaned Complex Therapeutics LLC a term loan in the principal amount of $85.6 million to refinance the Construction Loans. Substantially all of the 2024 Loan proceeds were used to repay in full the Construction Loans. As of December 31, 2025, the outstanding principal amount under the 2024 Loan was $85.6 million and unamortized debt issuance costs were $0.8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2" w:name="page103"/>
    <w:bookmarkEnd w:id="102"/>
    <w:p>
      <w:pPr>
        <w:ind w:left="420"/>
        <w:spacing w:after="0"/>
        <w:rPr>
          <w:sz w:val="20"/>
          <w:szCs w:val="20"/>
          <w:color w:val="auto"/>
        </w:rPr>
      </w:pPr>
      <w:r>
        <w:rPr>
          <w:rFonts w:ascii="Times New Roman" w:cs="Times New Roman" w:eastAsia="Times New Roman" w:hAnsi="Times New Roman"/>
          <w:sz w:val="18"/>
          <w:szCs w:val="18"/>
          <w:color w:val="auto"/>
        </w:rPr>
        <w:t>The 2024 Loan has a term of two years with a one-year extension option. The extension option is subject to certain conditions being met, including:</w:t>
      </w:r>
    </w:p>
    <w:p>
      <w:pPr>
        <w:spacing w:after="0" w:line="27" w:lineRule="exact"/>
        <w:rPr>
          <w:sz w:val="20"/>
          <w:szCs w:val="20"/>
          <w:color w:val="auto"/>
        </w:rPr>
      </w:pPr>
    </w:p>
    <w:p>
      <w:pPr>
        <w:ind w:right="40" w:firstLine="8"/>
        <w:spacing w:after="0" w:line="253" w:lineRule="auto"/>
        <w:tabs>
          <w:tab w:leader="none" w:pos="2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potential default or event of default, (b) payment of a 0.35% extension fee and the costs and expenses of Midland incurred in connection with the extension, (c) replenishing of all reserve funds as reasonably determined by Midland, and (d) compliance with minimum debt yield and debt service coverage ratio requirements. The 2024 Loan bears interest at a fixed rate of 6.35% per annum, with interest-only payments during the term of the 2024 Loan and the principal balance due in full at maturity. The Company expects Complex Therapeutics LLC to meet all requirements necessary to exercise the extension.</w:t>
      </w:r>
    </w:p>
    <w:p>
      <w:pPr>
        <w:spacing w:after="0" w:line="14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2024 Loan may be prepaid in whole but not in part. If the 2024 Loan is prepaid on or prior to the 12-month anniversary of the Closing Date, a prepayment fee is required (other than in connection with a casualty or condemnation event) to make Midland whole for the interest it would have otherwise earned on the 2024 Loan during the first 12 months. There is no prepayment fee due if the 2024 Loan is prepaid after the 12-month anniversary of the Closing Date.</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net carrying amount of the liability component of the 2024 Loan was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4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6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1540" w:type="dxa"/>
            <w:vAlign w:val="bottom"/>
            <w:tcBorders>
              <w:bottom w:val="single" w:sz="8" w:color="CCEEFF"/>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85,600</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85,600</w:t>
            </w: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w:t>
            </w:r>
          </w:p>
        </w:tc>
        <w:tc>
          <w:tcPr>
            <w:tcW w:w="15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760" w:type="dxa"/>
            <w:vAlign w:val="bottom"/>
          </w:tcPr>
          <w:p>
            <w:pPr>
              <w:spacing w:after="0"/>
              <w:rPr>
                <w:sz w:val="21"/>
                <w:szCs w:val="21"/>
                <w:color w:val="auto"/>
              </w:rPr>
            </w:pP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(1,413)</w:t>
            </w:r>
          </w:p>
        </w:tc>
      </w:tr>
      <w:tr>
        <w:trPr>
          <w:trHeight w:val="27"/>
        </w:trPr>
        <w:tc>
          <w:tcPr>
            <w:tcW w:w="66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9"/>
        </w:trPr>
        <w:tc>
          <w:tcPr>
            <w:tcW w:w="6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carrying amount</w:t>
            </w:r>
          </w:p>
        </w:tc>
        <w:tc>
          <w:tcPr>
            <w:tcW w:w="1540" w:type="dxa"/>
            <w:vAlign w:val="bottom"/>
            <w:tcBorders>
              <w:bottom w:val="single" w:sz="8" w:color="CCEEFF"/>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84,806</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84,187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2024 Loan and Construction Loans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8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2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20"/>
                <w:szCs w:val="20"/>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Pr>
          <w:p>
            <w:pPr>
              <w:spacing w:after="0"/>
              <w:rPr>
                <w:sz w:val="20"/>
                <w:szCs w:val="20"/>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600" w:type="dxa"/>
            <w:vAlign w:val="bottom"/>
            <w:tcBorders>
              <w:bottom w:val="single" w:sz="8" w:color="CCEEFF"/>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w:t>
            </w: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15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6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7"/>
        </w:trPr>
        <w:tc>
          <w:tcPr>
            <w:tcW w:w="66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9"/>
        </w:trPr>
        <w:tc>
          <w:tcPr>
            <w:tcW w:w="6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interest expense related to the loans</w:t>
            </w: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600" w:type="dxa"/>
            <w:vAlign w:val="bottom"/>
            <w:tcBorders>
              <w:bottom w:val="single" w:sz="8" w:color="CCEEFF"/>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8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 No liability associated with such indemnifications was recorded as of December 31, 2025 and 2024.</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02"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various purchase agreements and commitments with third-party vendors for clinical research services, products and other services for operating purposes. These agreements generally provide for termination or cancellation at the Company's option, other than for costs already incurred.</w:t>
      </w:r>
    </w:p>
    <w:p>
      <w:pPr>
        <w:spacing w:after="0" w:line="13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nil and $0.1 million outstanding liabilities, respectively, in commitments for employee benefits as part of the Plan (see Note 13). As of December 31, 2025 and 2024, the Company had $0.2 million and $1.9 million, respectively, in commitments for contract terminations as part of the Plan. (see Note 13).</w:t>
      </w:r>
    </w:p>
    <w:p>
      <w:pPr>
        <w:spacing w:after="0" w:line="135"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Company entered into an agreement in 2023 with a third-party collaborator in China related to the development of the Company’s CoStAR-TIL technology; this agreement was subsequently terminated in 2025. Milestone payments of nil and $2.6 million were made during the year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984885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respectively, and were recorded within research and development expense in the consolidated statements of operations and comprehensive loss.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ind w:right="140" w:firstLine="405"/>
        <w:spacing w:after="0" w:line="250" w:lineRule="auto"/>
        <w:rPr>
          <w:sz w:val="20"/>
          <w:szCs w:val="20"/>
          <w:color w:val="auto"/>
        </w:rPr>
      </w:pPr>
      <w:r>
        <w:rPr>
          <w:rFonts w:ascii="Times New Roman" w:cs="Times New Roman" w:eastAsia="Times New Roman" w:hAnsi="Times New Roman"/>
          <w:sz w:val="18"/>
          <w:szCs w:val="18"/>
          <w:color w:val="auto"/>
        </w:rPr>
        <w:t>Each share of common stock has the right to one vote. The holders of common stock are also entitled to receive dividends out of legally available funds when and if declared by the Company’s Board of Directors, subject to the rights of holders of any classes of stock outstanding having priority rights as to dividends. No cash dividends have been declared by the Board of Directors from inception.</w:t>
      </w:r>
    </w:p>
    <w:p>
      <w:pPr>
        <w:spacing w:after="0" w:line="150" w:lineRule="exact"/>
        <w:rPr>
          <w:sz w:val="20"/>
          <w:szCs w:val="20"/>
          <w:color w:val="auto"/>
        </w:rPr>
      </w:pPr>
    </w:p>
    <w:p>
      <w:pPr>
        <w:ind w:left="420" w:right="1400"/>
        <w:spacing w:after="0" w:line="453" w:lineRule="auto"/>
        <w:rPr>
          <w:sz w:val="20"/>
          <w:szCs w:val="20"/>
          <w:color w:val="auto"/>
        </w:rPr>
      </w:pPr>
      <w:r>
        <w:rPr>
          <w:rFonts w:ascii="Times New Roman" w:cs="Times New Roman" w:eastAsia="Times New Roman" w:hAnsi="Times New Roman"/>
          <w:sz w:val="18"/>
          <w:szCs w:val="18"/>
          <w:color w:val="auto"/>
        </w:rPr>
        <w:t xml:space="preserve">As of December 31, 2025 and 2024, the Company had 6,781,976 and 6,525,887 shares of common stock outstanding, respectively. </w:t>
      </w:r>
      <w:r>
        <w:rPr>
          <w:rFonts w:ascii="Times New Roman" w:cs="Times New Roman" w:eastAsia="Times New Roman" w:hAnsi="Times New Roman"/>
          <w:sz w:val="18"/>
          <w:szCs w:val="18"/>
          <w:b w:val="1"/>
          <w:bCs w:val="1"/>
          <w:i w:val="1"/>
          <w:iCs w:val="1"/>
          <w:color w:val="auto"/>
        </w:rPr>
        <w:t>At-the-Market Offering (ATM Program)</w:t>
      </w:r>
    </w:p>
    <w:p>
      <w:pPr>
        <w:spacing w:after="0" w:line="2" w:lineRule="exact"/>
        <w:rPr>
          <w:sz w:val="20"/>
          <w:szCs w:val="20"/>
          <w:color w:val="auto"/>
        </w:rPr>
      </w:pPr>
    </w:p>
    <w:p>
      <w:pPr>
        <w:ind w:firstLine="405"/>
        <w:spacing w:after="0" w:line="235" w:lineRule="auto"/>
        <w:rPr>
          <w:sz w:val="20"/>
          <w:szCs w:val="20"/>
          <w:color w:val="auto"/>
        </w:rPr>
      </w:pPr>
      <w:r>
        <w:rPr>
          <w:rFonts w:ascii="Times New Roman" w:cs="Times New Roman" w:eastAsia="Times New Roman" w:hAnsi="Times New Roman"/>
          <w:sz w:val="18"/>
          <w:szCs w:val="18"/>
          <w:color w:val="auto"/>
        </w:rPr>
        <w:t>In March 2025, the Company entered into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with Jefferies LLC (“Jefferies”) pursuant to which the Company may, subject to the terms and conditions set forth in the agreement, offer and sell, from time to time, through or to Jefferies, acting as agent or principal, shares of common stock having an aggregate offering price of up to $100.0 million in one or more “at the market offerings” (the “ATM Program”).</w:t>
      </w:r>
    </w:p>
    <w:p>
      <w:pPr>
        <w:spacing w:after="0" w:line="173"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sold 185,837 shares of common stock under the ATM Program at a weighted-average price of $37.13 per share, for net proceeds of $6.6 million, after deducting commissions and expenses of approximately $0.3 million. The remaining availability under the ATM Program as of December 31, 2025 is approximately $93.1 million.</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8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Company’s current amended and restated certificate of incorporation authorizes the Company to issue up to 10,000,000 shares of preferred stock at $0.000001 par value per share. The Board of Directors is authorized to provide for the issuance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subsequent resolution or resolutions adopted by the board providing for the issuance of such shares. As of December 31, 2025 and 2024 there were no shares of preferred stock issued or outstanding.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89"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In March 2021, the Company adopted the 2021 Equity Incentive Plan (the “2021 Plan”), which became effective in connection with the Company’s initial public offering (“IPO”). The 2021 Plan was approved by the Board of Directors and stockholders in March 2021. The 2021 Plan is an equity incentive plan pursuant to which the Company may grant the following awards: (i) incentive stock options; (ii) nonstatutory stock options; (iii) stock appreciation rights; (iv) restricted stock awards; (v) restricted stock unit awards; (vi) performance awards; and (vii) other forms of stock awards to employees, directors, and consultants, including employees and consultants of the Company’s affiliates. The 2021 Plan is a successor to the Company’s 2018 Stock Incentive Plan (the “2018 Plan”). Following the effectiveness of the 2021 Plan, no further grants may be made under the 2018 Plan; however, any outstanding equity awards granted under the 2018 Plan will continue to be governed by the terms of the 2018 Plan.</w:t>
      </w:r>
    </w:p>
    <w:p>
      <w:pPr>
        <w:spacing w:after="0" w:line="14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number of shares available for future issuance under the 2021 Plan is the sum of (1) 433,000 new shares of common stock, (2) 209,722 remaining shares of common stock reserved under the 2018 Plan that became available for issuance upon the effectiveness of the 2021 Plan and (3) the number of shares of common stock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4" w:name="page105"/>
    <w:bookmarkEnd w:id="104"/>
    <w:p>
      <w:pPr>
        <w:spacing w:after="0" w:line="15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outstanding awards under the 2018 Plan when the 2021 Plan became effective that thereafter expire or are forfeited, canceled, withheld to satisfy tax withholding or to purchase or exercise an award, repurchased by the Company or are otherwise terminated. The number of shares of common stock reserved for issuance under the 2021 Plan will automatically increase on January 1 of each year, for a period of ten years, from January 1, 2022 continuing through January 1, 2031, by 5% of the total number of shares of common stock outstanding on December 31 of the preceding calendar year, or a lesser number of shares as may be determined by the Company’s Board of Directors. Stock options granted by the Company to employees generally vest over four years with a one-year cliff.</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2025, 481,355 shares of common stock remained available for issuance under the 2021 Plan.</w:t>
      </w:r>
    </w:p>
    <w:p>
      <w:pPr>
        <w:spacing w:after="0" w:line="18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stock-based compensation included in the Company's consolidated statements of operations and comprehensive loss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7"/>
                <w:szCs w:val="17"/>
                <w:color w:val="auto"/>
              </w:rPr>
            </w:pPr>
          </w:p>
        </w:tc>
        <w:tc>
          <w:tcPr>
            <w:tcW w:w="1220" w:type="dxa"/>
            <w:vAlign w:val="bottom"/>
            <w:vMerge w:val="restart"/>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4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Issuable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160" w:type="dxa"/>
            <w:vAlign w:val="bottom"/>
          </w:tcPr>
          <w:p>
            <w:pPr>
              <w:spacing w:after="0"/>
              <w:rPr>
                <w:sz w:val="17"/>
                <w:szCs w:val="17"/>
                <w:color w:val="auto"/>
              </w:rPr>
            </w:pPr>
          </w:p>
        </w:tc>
        <w:tc>
          <w:tcPr>
            <w:tcW w:w="122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Available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60" w:type="dxa"/>
            <w:vAlign w:val="bottom"/>
          </w:tcPr>
          <w:p>
            <w:pPr>
              <w:spacing w:after="0"/>
              <w:rPr>
                <w:sz w:val="16"/>
                <w:szCs w:val="16"/>
                <w:color w:val="auto"/>
              </w:rPr>
            </w:pPr>
          </w:p>
        </w:tc>
        <w:tc>
          <w:tcPr>
            <w:tcW w:w="12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39"/>
        </w:trPr>
        <w:tc>
          <w:tcPr>
            <w:tcW w:w="466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Grant</w:t>
            </w:r>
          </w:p>
        </w:tc>
        <w:tc>
          <w:tcPr>
            <w:tcW w:w="8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659,608</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799,622</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3"/>
        </w:trPr>
        <w:tc>
          <w:tcPr>
            <w:tcW w:w="4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Additional shares authorized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325,196</w:t>
            </w: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Options granted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(546,800)</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546,800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Options forfeited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74,989</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512,993</w:t>
            </w:r>
          </w:p>
        </w:tc>
        <w:tc>
          <w:tcPr>
            <w:tcW w:w="8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1,249,459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Additional shares authorized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325,012</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Options 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(562,010)</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562,010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Options forfeited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205,360</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(205,360)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481,355</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1,537,107</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December 31, 2025</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820,027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December 31, 2025</w:t>
            </w: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820,027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The aggregate intrinsic value disclosed in the above table is based on the difference between the exercise price of the stock option and the estimated fair value of the Company’s common stock as of the respective period-end dates. There were 70,252 and 21,974 stock options exercised during the years ended December 31, 2025 and 2024, respectively. The aggregate intrinsic value of stock options exercised was zero and $0.1 million during the years ended December 31, 2025 and 2024, respectively. The weighted-average grant date fair value of stock options granted during the years ended December 31, 2025 and 2024, was $14.13 and $22.85 per share, respectively.</w:t>
      </w:r>
    </w:p>
    <w:p>
      <w:pPr>
        <w:spacing w:after="0" w:line="143" w:lineRule="exact"/>
        <w:rPr>
          <w:sz w:val="20"/>
          <w:szCs w:val="20"/>
          <w:color w:val="auto"/>
        </w:rPr>
      </w:pPr>
    </w:p>
    <w:p>
      <w:pPr>
        <w:ind w:right="20" w:firstLine="405"/>
        <w:spacing w:after="0" w:line="279" w:lineRule="auto"/>
        <w:rPr>
          <w:sz w:val="20"/>
          <w:szCs w:val="20"/>
          <w:color w:val="auto"/>
        </w:rPr>
      </w:pPr>
      <w:r>
        <w:rPr>
          <w:rFonts w:ascii="Times New Roman" w:cs="Times New Roman" w:eastAsia="Times New Roman" w:hAnsi="Times New Roman"/>
          <w:sz w:val="18"/>
          <w:szCs w:val="18"/>
          <w:color w:val="auto"/>
        </w:rPr>
        <w:t>The following table sets forth stock-based compensation included in the Company’s consolidated statements of operations and comprehensive loss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Pr>
          <w:p>
            <w:pPr>
              <w:spacing w:after="0"/>
              <w:rPr>
                <w:sz w:val="20"/>
                <w:szCs w:val="20"/>
                <w:color w:val="auto"/>
              </w:rPr>
            </w:pPr>
          </w:p>
        </w:tc>
      </w:tr>
      <w:tr>
        <w:trPr>
          <w:trHeight w:val="27"/>
        </w:trPr>
        <w:tc>
          <w:tcPr>
            <w:tcW w:w="8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20"/>
                <w:szCs w:val="20"/>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15,191</w:t>
            </w:r>
          </w:p>
        </w:tc>
      </w:tr>
      <w:tr>
        <w:trPr>
          <w:trHeight w:val="27"/>
        </w:trPr>
        <w:tc>
          <w:tcPr>
            <w:tcW w:w="80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89"/>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17,257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there was $12.6 million and $16.6 million, respectively, of total unrecognized compensation cost related to unvested stock options granted under the 2018 Plan and 2021 Plan, which is expected to be recognized over a weighted average period of 2.35 years and 2.25 years,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53" w:lineRule="exact"/>
        <w:rPr>
          <w:sz w:val="20"/>
          <w:szCs w:val="20"/>
          <w:color w:val="auto"/>
        </w:rPr>
      </w:pPr>
    </w:p>
    <w:p>
      <w:pPr>
        <w:ind w:right="720" w:firstLine="405"/>
        <w:spacing w:after="0" w:line="279" w:lineRule="auto"/>
        <w:rPr>
          <w:sz w:val="20"/>
          <w:szCs w:val="20"/>
          <w:color w:val="auto"/>
        </w:rPr>
      </w:pPr>
      <w:r>
        <w:rPr>
          <w:rFonts w:ascii="Times New Roman" w:cs="Times New Roman" w:eastAsia="Times New Roman" w:hAnsi="Times New Roman"/>
          <w:sz w:val="18"/>
          <w:szCs w:val="18"/>
          <w:color w:val="auto"/>
        </w:rPr>
        <w:t>The fair value of the Company’s stock option awards was estimated at the date of grant using a Black-Scholes option pricing model with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Pr>
          <w:p>
            <w:pPr>
              <w:spacing w:after="0"/>
              <w:rPr>
                <w:sz w:val="20"/>
                <w:szCs w:val="20"/>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6.08</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98.18 % —</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102.67%</w:t>
            </w:r>
          </w:p>
        </w:tc>
        <w:tc>
          <w:tcPr>
            <w:tcW w:w="100" w:type="dxa"/>
            <w:vAlign w:val="bottom"/>
          </w:tcPr>
          <w:p>
            <w:pPr>
              <w:spacing w:after="0"/>
              <w:rPr>
                <w:sz w:val="21"/>
                <w:szCs w:val="21"/>
                <w:color w:val="auto"/>
              </w:rPr>
            </w:pPr>
          </w:p>
        </w:tc>
        <w:tc>
          <w:tcPr>
            <w:tcW w:w="1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86.92 % —</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100.06%</w:t>
            </w:r>
          </w:p>
        </w:tc>
      </w:tr>
      <w:tr>
        <w:trPr>
          <w:trHeight w:val="27"/>
        </w:trPr>
        <w:tc>
          <w:tcPr>
            <w:tcW w:w="52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3.87 % —</w:t>
            </w:r>
          </w:p>
        </w:tc>
        <w:tc>
          <w:tcPr>
            <w:tcW w:w="1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3.53 % —</w:t>
            </w:r>
          </w:p>
        </w:tc>
        <w:tc>
          <w:tcPr>
            <w:tcW w:w="1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4.57%</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$66.10</w:t>
            </w:r>
          </w:p>
        </w:tc>
      </w:tr>
      <w:tr>
        <w:trPr>
          <w:trHeight w:val="27"/>
        </w:trPr>
        <w:tc>
          <w:tcPr>
            <w:tcW w:w="52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20" w:type="dxa"/>
            <w:vAlign w:val="bottom"/>
            <w:gridSpan w:val="2"/>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6"/>
              </w:rPr>
              <w:t>—%</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21"/>
                <w:szCs w:val="21"/>
                <w:color w:val="auto"/>
              </w:rPr>
            </w:pPr>
          </w:p>
        </w:tc>
      </w:tr>
      <w:tr>
        <w:trPr>
          <w:trHeight w:val="27"/>
        </w:trPr>
        <w:tc>
          <w:tcPr>
            <w:tcW w:w="5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Black-Scholes option pricing model requires the use of highly subjective assumptions which determine the fair value of stock-based awards.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assumptions include:</w:t>
      </w:r>
    </w:p>
    <w:p>
      <w:pPr>
        <w:spacing w:after="0" w:line="97" w:lineRule="exact"/>
        <w:rPr>
          <w:sz w:val="20"/>
          <w:szCs w:val="20"/>
          <w:color w:val="auto"/>
        </w:rPr>
      </w:pPr>
    </w:p>
    <w:p>
      <w:pPr>
        <w:ind w:left="440" w:right="120"/>
        <w:spacing w:after="0" w:line="284"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stock-based awards are expected to be outstanding and is determined as the average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time-to-vesting and the contractual life of the awards.</w:t>
      </w:r>
    </w:p>
    <w:p>
      <w:pPr>
        <w:spacing w:after="0" w:line="50" w:lineRule="exact"/>
        <w:rPr>
          <w:sz w:val="20"/>
          <w:szCs w:val="20"/>
          <w:color w:val="auto"/>
        </w:rPr>
      </w:pPr>
    </w:p>
    <w:p>
      <w:pPr>
        <w:jc w:val="both"/>
        <w:ind w:left="440" w:right="300"/>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—Since the Company is privately held and does not have any trading history for its common stock, the expected volatility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based on the average volatility for comparable publicly traded biotechnology companies over a period equal to the expected term of the stock option grants. The comparable companies were chosen based on their similar size, stage in the life cycle or area of specialty.</w:t>
      </w:r>
    </w:p>
    <w:p>
      <w:pPr>
        <w:spacing w:after="0" w:line="65" w:lineRule="exact"/>
        <w:rPr>
          <w:sz w:val="20"/>
          <w:szCs w:val="20"/>
          <w:color w:val="auto"/>
        </w:rPr>
      </w:pPr>
    </w:p>
    <w:p>
      <w:pPr>
        <w:ind w:left="440" w:right="800"/>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zero coupon issues in effect at the time of grant for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with the expected term of awards.</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—The Company has never paid dividends on its common stock and has no plans to pay dividends on its common stock.</w:t>
      </w: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Therefore, the Company used an expected dividend yield of zero.</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8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March 2021, the Company adopted the Employee Stock Purchase Plan (the “ESPP”), which became effective in connection with the IPO. The ESPP was adopted by the Board of Directors and stockholders in March 2021, but the Company has not yet commenced offerings to employees under the ESPP. The ESPP initially provides participating employees with the opportunity to purchase up to an aggregate of 61,850 shares of common stock. The number of shares reserved under the ESPP automatically increases on January 1 of each year through and until January 1, 2031, in an amount equal to the lesser of (i) 1% of the total number of shares of common stock outstanding on December 31 of the preceding calendar year, and (ii) 123,700 shares; provided, however, that before the date of any such increase, the Board of Directors may determine that such increase will be less than the amount set forth in clauses (i) and (ii).</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89" w:lineRule="exact"/>
        <w:rPr>
          <w:sz w:val="20"/>
          <w:szCs w:val="20"/>
          <w:color w:val="auto"/>
        </w:rPr>
      </w:pPr>
    </w:p>
    <w:p>
      <w:pPr>
        <w:ind w:right="200" w:firstLine="405"/>
        <w:spacing w:after="0" w:line="279" w:lineRule="auto"/>
        <w:rPr>
          <w:sz w:val="20"/>
          <w:szCs w:val="20"/>
          <w:color w:val="auto"/>
        </w:rPr>
      </w:pPr>
      <w:r>
        <w:rPr>
          <w:rFonts w:ascii="Times New Roman" w:cs="Times New Roman" w:eastAsia="Times New Roman" w:hAnsi="Times New Roman"/>
          <w:sz w:val="18"/>
          <w:szCs w:val="18"/>
          <w:color w:val="auto"/>
        </w:rPr>
        <w:t>The following outstanding potentially dilutive shares have been excluded from the calculation of diluted net loss per share for the periods presented due to their anti-dilutive effect: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2420" w:type="dxa"/>
            <w:vAlign w:val="bottom"/>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spacing w:after="0"/>
              <w:rPr>
                <w:sz w:val="20"/>
                <w:szCs w:val="20"/>
                <w:color w:val="auto"/>
              </w:rPr>
            </w:pPr>
          </w:p>
        </w:tc>
      </w:tr>
      <w:tr>
        <w:trPr>
          <w:trHeight w:val="27"/>
        </w:trPr>
        <w:tc>
          <w:tcPr>
            <w:tcW w:w="76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680" w:type="dxa"/>
            <w:vAlign w:val="bottom"/>
          </w:tcPr>
          <w:p>
            <w:pPr>
              <w:spacing w:after="0"/>
              <w:rPr>
                <w:sz w:val="20"/>
                <w:szCs w:val="20"/>
                <w:color w:val="auto"/>
              </w:rPr>
            </w:pPr>
          </w:p>
        </w:tc>
        <w:tc>
          <w:tcPr>
            <w:tcW w:w="17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6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1,537,107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1,249,459</w:t>
            </w:r>
          </w:p>
        </w:tc>
      </w:tr>
      <w:tr>
        <w:trPr>
          <w:trHeight w:val="1505"/>
        </w:trPr>
        <w:tc>
          <w:tcPr>
            <w:tcW w:w="76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Income Taxes</w:t>
            </w: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91"/>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geographical breakdown of loss before provision for income taxes is as follows (in thousands):</w:t>
            </w: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7680" w:type="dxa"/>
            <w:vAlign w:val="bottom"/>
          </w:tcPr>
          <w:p>
            <w:pPr>
              <w:spacing w:after="0"/>
              <w:rPr>
                <w:sz w:val="23"/>
                <w:szCs w:val="23"/>
                <w:color w:val="auto"/>
              </w:rPr>
            </w:pPr>
          </w:p>
        </w:tc>
        <w:tc>
          <w:tcPr>
            <w:tcW w:w="29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Pr>
          <w:p>
            <w:pPr>
              <w:spacing w:after="0"/>
              <w:rPr>
                <w:sz w:val="23"/>
                <w:szCs w:val="23"/>
                <w:color w:val="auto"/>
              </w:rPr>
            </w:pPr>
          </w:p>
        </w:tc>
      </w:tr>
      <w:tr>
        <w:trPr>
          <w:trHeight w:val="27"/>
        </w:trPr>
        <w:tc>
          <w:tcPr>
            <w:tcW w:w="7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76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20"/>
                <w:szCs w:val="20"/>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(60,382)</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(13,753)</w:t>
            </w:r>
          </w:p>
        </w:tc>
      </w:tr>
      <w:tr>
        <w:trPr>
          <w:trHeight w:val="27"/>
        </w:trPr>
        <w:tc>
          <w:tcPr>
            <w:tcW w:w="76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88"/>
        </w:trPr>
        <w:tc>
          <w:tcPr>
            <w:tcW w:w="7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(71,372)</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had no income tax expense for both domestic and foreign jurisdictions for the years ended December 31, 2025 and 2024.</w:t>
      </w:r>
    </w:p>
    <w:p>
      <w:pPr>
        <w:spacing w:after="0" w:line="90"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21% statutory U.S. federal income tax rate to income before income taxes after the adoption of ASU 2023-09 is as follows (in thousands, except percentages):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0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r>
      <w:tr>
        <w:trPr>
          <w:trHeight w:val="27"/>
        </w:trPr>
        <w:tc>
          <w:tcPr>
            <w:tcW w:w="7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7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Amount</w:t>
            </w:r>
          </w:p>
        </w:tc>
        <w:tc>
          <w:tcPr>
            <w:tcW w:w="19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32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income tax expense and effective tax rate</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7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
        </w:trPr>
        <w:tc>
          <w:tcPr>
            <w:tcW w:w="7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400" w:firstLine="405"/>
        <w:spacing w:after="0" w:line="279"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21% statutory U.S. federal income tax rate to income before income taxes for the year prior to the adoption of ASU 2023-09 is as follows: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U.S. federal taxes at statutory rate</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Permanent differences and other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Statutory tax rate differences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44450</wp:posOffset>
            </wp:positionV>
            <wp:extent cx="20828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6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36830</wp:posOffset>
            </wp:positionV>
            <wp:extent cx="7132320" cy="1797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21.0 %</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34290</wp:posOffset>
            </wp:positionV>
            <wp:extent cx="71323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0.3 %</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34290</wp:posOffset>
            </wp:positionV>
            <wp:extent cx="71323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34290</wp:posOffset>
            </wp:positionV>
            <wp:extent cx="20828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1007745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34290</wp:posOffset>
            </wp:positionV>
            <wp:extent cx="20828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60325</wp:posOffset>
            </wp:positionV>
            <wp:extent cx="20828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ectPr>
          <w:pgSz w:w="11900" w:h="16838" w:orient="portrait"/>
          <w:cols w:equalWidth="0" w:num="2">
            <w:col w:w="7880" w:space="720"/>
            <w:col w:w="2640"/>
          </w:cols>
          <w:pgMar w:left="320" w:top="1440" w:right="339" w:bottom="1440" w:gutter="0" w:footer="0" w:header="0"/>
          <w:type w:val="continuous"/>
        </w:sectPr>
      </w:pPr>
    </w:p>
    <w:bookmarkStart w:id="107" w:name="page108"/>
    <w:bookmarkEnd w:id="107"/>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components of deferred tax liabilities consist of the following (in thousands):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160" w:type="dxa"/>
            <w:vAlign w:val="bottom"/>
            <w:gridSpan w:val="5"/>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109,397</w:t>
            </w:r>
          </w:p>
        </w:tc>
        <w:tc>
          <w:tcPr>
            <w:tcW w:w="4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95,773</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0" w:type="dxa"/>
            <w:vAlign w:val="bottom"/>
          </w:tcPr>
          <w:p>
            <w:pPr>
              <w:spacing w:after="0"/>
              <w:rPr>
                <w:sz w:val="1"/>
                <w:szCs w:val="1"/>
                <w:color w:val="auto"/>
              </w:rPr>
            </w:pPr>
          </w:p>
        </w:tc>
      </w:tr>
      <w:tr>
        <w:trPr>
          <w:trHeight w:val="24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4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20,920</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0" w:type="dxa"/>
            <w:vAlign w:val="bottom"/>
          </w:tcPr>
          <w:p>
            <w:pPr>
              <w:spacing w:after="0"/>
              <w:rPr>
                <w:sz w:val="1"/>
                <w:szCs w:val="1"/>
                <w:color w:val="auto"/>
              </w:rPr>
            </w:pPr>
          </w:p>
        </w:tc>
      </w:tr>
      <w:tr>
        <w:trPr>
          <w:trHeight w:val="24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Fixed assets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0" w:type="dxa"/>
            <w:vAlign w:val="bottom"/>
          </w:tcPr>
          <w:p>
            <w:pPr>
              <w:spacing w:after="0"/>
              <w:rPr>
                <w:sz w:val="1"/>
                <w:szCs w:val="1"/>
                <w:color w:val="auto"/>
              </w:rPr>
            </w:pPr>
          </w:p>
        </w:tc>
      </w:tr>
      <w:tr>
        <w:trPr>
          <w:trHeight w:val="24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156,043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142,557</w:t>
            </w:r>
          </w:p>
        </w:tc>
        <w:tc>
          <w:tcPr>
            <w:tcW w:w="0" w:type="dxa"/>
            <w:vAlign w:val="bottom"/>
          </w:tcPr>
          <w:p>
            <w:pPr>
              <w:spacing w:after="0"/>
              <w:rPr>
                <w:sz w:val="1"/>
                <w:szCs w:val="1"/>
                <w:color w:val="auto"/>
              </w:rPr>
            </w:pPr>
          </w:p>
        </w:tc>
      </w:tr>
      <w:tr>
        <w:trPr>
          <w:trHeight w:val="243"/>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(141,367)</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6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Rent receivable</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36"/>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The components of unrecognized tax benefits consist of the following (in thousands):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6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4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in 2025</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 w:firstLine="405"/>
        <w:spacing w:after="0" w:line="236" w:lineRule="auto"/>
        <w:rPr>
          <w:sz w:val="20"/>
          <w:szCs w:val="20"/>
          <w:color w:val="auto"/>
        </w:rPr>
      </w:pPr>
      <w:r>
        <w:rPr>
          <w:rFonts w:ascii="Times New Roman" w:cs="Times New Roman" w:eastAsia="Times New Roman" w:hAnsi="Times New Roman"/>
          <w:sz w:val="18"/>
          <w:szCs w:val="18"/>
          <w:color w:val="auto"/>
        </w:rPr>
        <w:t>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Due to the uncertainty of the business in which the Company operates, projections of future profitability are difficult and past profitability is not necessarily indicative of future profitability. The Company does not believe it is more likely than not that the deferred tax assets will be realized, and accordingly, the valuation allowance increased $12.5 million for the year ended December 31, 2025. As of December 31, 2025, the Company had net operating loss carryforwards for federal income tax purposes of $405.4 million, which will carryforward indefinitely, but may only offset 80% of the Company’s taxable income. This limitation on the net operating loss may require the Company to pay federal income taxes in future years despite generating a loss for federal income tax purposes in prior years. In addition, the Company has $136.1 million of California net operating loss carryforwards available to reduce future state taxable income as of the year ended December 31, 2025. The state net operating loss carryforwards will begin to expire, if not utilized, in 2044.</w:t>
      </w:r>
    </w:p>
    <w:p>
      <w:pPr>
        <w:spacing w:after="0" w:line="165"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Company has R&amp;D credits of $4.1 million, and $3.7 million for federal and California, respectively, as of December 31, 2025. The federal R&amp;D credits expire in 2043 and the California R&amp;D credits carryforward indefinitely.</w:t>
      </w:r>
    </w:p>
    <w:p>
      <w:pPr>
        <w:spacing w:after="0" w:line="135"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Upon the prospective adoption of ASU 2023-09 the Company is required to disclose income taxes paid, net of refunds for 2025. All amounts for federal, state and foreign are zero for the year ended December 31, 2025.</w:t>
      </w:r>
    </w:p>
    <w:p>
      <w:pPr>
        <w:spacing w:after="0" w:line="121"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states where the Company has employees and/or significant business activities, and the United Kingdom. As of December 31, 2025, the Company’s federal and state returns through 2022 are still open to examination. The UK returns starting from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are open to examination. The Company had uncertain tax positions as of December 31, 2024 of $2.3 million and this balance remained unchanged during December 31, 2025. The Company does not anticipate that the amount of existing unrecognized tax benefits will significantly increase or decrease during the next 12 months. The Company had no accrued interest or penalties related to uncertain tax positions as of December 31, 2025.</w:t>
      </w:r>
    </w:p>
    <w:p>
      <w:pPr>
        <w:spacing w:after="0" w:line="13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has not completed a Section 382 study to assess whether an ownership change has occurred or whether there have been multiple ownership changes since the Company’s formation. Pursuant to Internal Revenue Code Sections 382 and 383, annual use of the Company’s net operating loss and research and development tax credit carryforwards may be limited in the event a cumulative change in ownership of more than 50% occurs within a three-year period. Due to the existence of the valuation allowance, limitations created by future ownership changes, if any, are not anticipated to impact the Company’s effective tax 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Corporate Restructuring Plan</w:t>
      </w:r>
    </w:p>
    <w:p>
      <w:pPr>
        <w:spacing w:after="0" w:line="20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In January 2023, the Board of Directors approved a restructuring plan (referred to as the “2023 Plan”) and the Company announced the consolidation of the ITIL-306 Phase 1 clinical trial and related manufacturing of CoStAR-TIL to its operations in Manchester, UK and stopped recruiting for the ITIL-306 clinical trial.</w:t>
      </w:r>
    </w:p>
    <w:p>
      <w:pPr>
        <w:spacing w:after="0" w:line="13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January 2024, the Board of Directors approved a comprehensive restructuring plan, which included the closure of the Company’s UK manufacturing facility and clinical trial operations. In September 2024, the Board of Directors approved additional UK restructuring actions, which resulted in the elimination of the majority of the remaining UK workforce in the fall of 2024, with the remaining reduction and restructuring activities substantially completed by the end of 2024. Collectively, these actions are referred to as the “2024 Plan.”</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2023 Plan and 2024 Plan are collectively referred to as the “Plan”.</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Impairment Charges</w:t>
      </w:r>
    </w:p>
    <w:p>
      <w:pPr>
        <w:spacing w:after="0" w:line="189"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As a result of the Plan and listing the Tarzana facility for sale, the Company recorded charges of $16.6 million and $7.5 million within the consolidated statements of operations and comprehensive loss in the line item “restructuring and impairment charges” for the years ended December 31, 2025 and 2024, respectively.</w:t>
      </w:r>
    </w:p>
    <w:p>
      <w:pPr>
        <w:spacing w:after="0" w:line="135" w:lineRule="exact"/>
        <w:rPr>
          <w:sz w:val="20"/>
          <w:szCs w:val="20"/>
          <w:color w:val="auto"/>
        </w:rPr>
      </w:pPr>
    </w:p>
    <w:p>
      <w:pPr>
        <w:ind w:right="40" w:firstLine="405"/>
        <w:spacing w:after="0" w:line="279" w:lineRule="auto"/>
        <w:rPr>
          <w:sz w:val="20"/>
          <w:szCs w:val="20"/>
          <w:color w:val="auto"/>
        </w:rPr>
      </w:pPr>
      <w:r>
        <w:rPr>
          <w:rFonts w:ascii="Times New Roman" w:cs="Times New Roman" w:eastAsia="Times New Roman" w:hAnsi="Times New Roman"/>
          <w:sz w:val="18"/>
          <w:szCs w:val="18"/>
          <w:color w:val="auto"/>
        </w:rPr>
        <w:t>These charges relate to asset impairments, contract terminations, severance payments, employee-related costs and other gains incurred. The following table summarizes the restructuring and impairment (gain) loss by category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20"/>
                <w:szCs w:val="20"/>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for leasehold improvements</w:t>
            </w:r>
          </w:p>
        </w:tc>
        <w:tc>
          <w:tcPr>
            <w:tcW w:w="1520" w:type="dxa"/>
            <w:vAlign w:val="bottom"/>
            <w:tcBorders>
              <w:bottom w:val="single" w:sz="8" w:color="CCEEFF"/>
            </w:tcBorders>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r>
      <w:tr>
        <w:trPr>
          <w:trHeight w:val="27"/>
        </w:trPr>
        <w:tc>
          <w:tcPr>
            <w:tcW w:w="6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terminations</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impairment</w:t>
            </w: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7"/>
        </w:trPr>
        <w:tc>
          <w:tcPr>
            <w:tcW w:w="6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 held for sale</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w:t>
            </w:r>
          </w:p>
        </w:tc>
      </w:tr>
      <w:tr>
        <w:trPr>
          <w:trHeight w:val="237"/>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restructuring and impairment charges</w:t>
            </w:r>
          </w:p>
        </w:tc>
        <w:tc>
          <w:tcPr>
            <w:tcW w:w="80" w:type="dxa"/>
            <w:vAlign w:val="bottom"/>
          </w:tcPr>
          <w:p>
            <w:pPr>
              <w:spacing w:after="0"/>
              <w:rPr>
                <w:sz w:val="20"/>
                <w:szCs w:val="20"/>
                <w:color w:val="auto"/>
              </w:rPr>
            </w:pPr>
          </w:p>
        </w:tc>
        <w:tc>
          <w:tcPr>
            <w:tcW w:w="1440" w:type="dxa"/>
            <w:vAlign w:val="bottom"/>
            <w:tcBorders>
              <w:top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w:t>
            </w:r>
          </w:p>
        </w:tc>
      </w:tr>
      <w:tr>
        <w:trPr>
          <w:trHeight w:val="27"/>
        </w:trPr>
        <w:tc>
          <w:tcPr>
            <w:tcW w:w="67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Liability</w:t>
      </w:r>
    </w:p>
    <w:p>
      <w:pPr>
        <w:spacing w:after="0" w:line="202" w:lineRule="exact"/>
        <w:rPr>
          <w:sz w:val="20"/>
          <w:szCs w:val="20"/>
          <w:color w:val="auto"/>
        </w:rPr>
      </w:pPr>
    </w:p>
    <w:p>
      <w:pPr>
        <w:ind w:right="720" w:firstLine="405"/>
        <w:spacing w:after="0" w:line="266" w:lineRule="auto"/>
        <w:rPr>
          <w:sz w:val="20"/>
          <w:szCs w:val="20"/>
          <w:color w:val="auto"/>
        </w:rPr>
      </w:pPr>
      <w:r>
        <w:rPr>
          <w:rFonts w:ascii="Times New Roman" w:cs="Times New Roman" w:eastAsia="Times New Roman" w:hAnsi="Times New Roman"/>
          <w:sz w:val="18"/>
          <w:szCs w:val="18"/>
          <w:color w:val="auto"/>
        </w:rPr>
        <w:t>As a result of the Plan, the restructuring liability was recorded in the consolidated balance sheets under “Accrued expenses and other current liabilities” and was measured at the amount expected to be paid, or that was paid. During the year ended December 31, 2025, the Company paid $1.4 million of restructuring costs, and expects to pay the remainder of the restructuring costs by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9" w:name="page110"/>
    <w:bookmarkEnd w:id="109"/>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following table shows the liability related to the Plan (in thousands):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8"/>
        </w:trPr>
        <w:tc>
          <w:tcPr>
            <w:tcW w:w="6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8"/>
        </w:trPr>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Benefits</w:t>
            </w:r>
          </w:p>
        </w:tc>
        <w:tc>
          <w:tcPr>
            <w:tcW w:w="22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Terminations</w:t>
            </w:r>
          </w:p>
        </w:tc>
        <w:tc>
          <w:tcPr>
            <w:tcW w:w="38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liability as of December 31, 2023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net</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7"/>
        </w:trPr>
        <w:tc>
          <w:tcPr>
            <w:tcW w:w="6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7"/>
        </w:trPr>
        <w:tc>
          <w:tcPr>
            <w:tcW w:w="6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liability as of December 31,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r>
      <w:tr>
        <w:trPr>
          <w:trHeight w:val="27"/>
        </w:trPr>
        <w:tc>
          <w:tcPr>
            <w:tcW w:w="6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37"/>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restructuring liability as of December 31, 2025</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7"/>
        </w:trPr>
        <w:tc>
          <w:tcPr>
            <w:tcW w:w="6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defined in Rules 13a-15(e) and 15d-15(e) under the Exchange Act) as of the end of the period covered by this Annual Report. Based upon that evaluation, our Chief Executive Officer and Chief Financial Officer have concluded that, as of December 31, 2025,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0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is defined in Rules 13a-15(f) and 15d-15(f) promulgated under the Exchange Act as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3" w:lineRule="exact"/>
        <w:rPr>
          <w:sz w:val="20"/>
          <w:szCs w:val="20"/>
          <w:color w:val="auto"/>
        </w:rPr>
      </w:pPr>
    </w:p>
    <w:p>
      <w:pPr>
        <w:ind w:left="1140" w:right="140" w:hanging="646"/>
        <w:spacing w:after="0" w:line="234" w:lineRule="auto"/>
        <w:tabs>
          <w:tab w:leader="none" w:pos="1135" w:val="left"/>
        </w:tabs>
        <w:numPr>
          <w:ilvl w:val="0"/>
          <w:numId w:val="59"/>
        </w:numPr>
        <w:rPr>
          <w:rFonts w:ascii="Arial" w:cs="Arial" w:eastAsia="Arial" w:hAnsi="Arial"/>
          <w:sz w:val="22"/>
          <w:szCs w:val="22"/>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32" w:lineRule="exact"/>
        <w:rPr>
          <w:rFonts w:ascii="Arial" w:cs="Arial" w:eastAsia="Arial" w:hAnsi="Arial"/>
          <w:sz w:val="22"/>
          <w:szCs w:val="22"/>
          <w:color w:val="auto"/>
        </w:rPr>
      </w:pPr>
    </w:p>
    <w:p>
      <w:pPr>
        <w:ind w:left="1140" w:right="240" w:hanging="646"/>
        <w:spacing w:after="0" w:line="239" w:lineRule="auto"/>
        <w:tabs>
          <w:tab w:leader="none" w:pos="1135" w:val="left"/>
        </w:tabs>
        <w:numPr>
          <w:ilvl w:val="0"/>
          <w:numId w:val="59"/>
        </w:numPr>
        <w:rPr>
          <w:rFonts w:ascii="Arial" w:cs="Arial" w:eastAsia="Arial" w:hAnsi="Arial"/>
          <w:sz w:val="22"/>
          <w:szCs w:val="22"/>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32" w:lineRule="exact"/>
        <w:rPr>
          <w:rFonts w:ascii="Arial" w:cs="Arial" w:eastAsia="Arial" w:hAnsi="Arial"/>
          <w:sz w:val="22"/>
          <w:szCs w:val="22"/>
          <w:color w:val="auto"/>
        </w:rPr>
      </w:pPr>
    </w:p>
    <w:p>
      <w:pPr>
        <w:ind w:left="1140" w:right="380" w:hanging="646"/>
        <w:spacing w:after="0" w:line="244" w:lineRule="auto"/>
        <w:tabs>
          <w:tab w:leader="none" w:pos="1135" w:val="left"/>
        </w:tabs>
        <w:numPr>
          <w:ilvl w:val="0"/>
          <w:numId w:val="59"/>
        </w:numPr>
        <w:rPr>
          <w:rFonts w:ascii="Arial" w:cs="Arial" w:eastAsia="Arial" w:hAnsi="Arial"/>
          <w:sz w:val="22"/>
          <w:szCs w:val="22"/>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944880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2025 based on the criteria set forth by the Committee of Sponsoring Organizations of the Treadway Commission in its 2013 Internal Control - Integrated Framework. Based on its assessment, our management has concluded that our internal over financial reporting was effective as of December 31, 2025.</w:t>
      </w:r>
    </w:p>
    <w:p>
      <w:pPr>
        <w:spacing w:after="0" w:line="135"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public accounting firm as allowed by Section 404(b) of the Sarbanes-Oxley Act, as amended by Section 103 of the JOBS Act.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December 31, 2025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0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ind w:right="640" w:firstLine="405"/>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2025, none of our directors or officers (as defined in Rule 16a-1(f) under the Exchange Act) adopted, modified or terminated a “Rule 10b5-1 trading arrangement” or a “non-Rule 10b5-1 trading arrangement” (as each term is defined in Item 408 of Regulation 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and not set forth below will be set forth in the sections captioned “Election of Directors,” “Information Regarding the Board of Directors and Corporate Governance,” “Executive Officers” and “Delinquent Section 16(a) Reports”, if applicable, in our definitive Proxy Statement for our 2026 Annual Meeting of Stockholders to be filed with the SEC on or before April 30, 2026, or the 2026 Proxy Statement, and is incorporated in this report by reference.</w:t>
      </w:r>
    </w:p>
    <w:p>
      <w:pPr>
        <w:spacing w:after="0" w:line="139" w:lineRule="exact"/>
        <w:rPr>
          <w:sz w:val="20"/>
          <w:szCs w:val="20"/>
          <w:color w:val="auto"/>
        </w:rPr>
      </w:pPr>
    </w:p>
    <w:p>
      <w:pPr>
        <w:ind w:right="100" w:firstLine="405"/>
        <w:spacing w:after="0" w:line="274" w:lineRule="auto"/>
        <w:rPr>
          <w:sz w:val="20"/>
          <w:szCs w:val="20"/>
          <w:color w:val="auto"/>
        </w:rPr>
      </w:pPr>
      <w:r>
        <w:rPr>
          <w:rFonts w:ascii="Times New Roman" w:cs="Times New Roman" w:eastAsia="Times New Roman" w:hAnsi="Times New Roman"/>
          <w:sz w:val="17"/>
          <w:szCs w:val="17"/>
          <w:color w:val="auto"/>
        </w:rPr>
        <w:t>We have adopted a code of ethics for directors, officers and employees, including our principal executive officer, principal financial officer, principal accounting officer or controller, or persons performing similar functions, known as the Code of Business Conduct and Ethics. The Code of Business Conduct and Ethics is available on our website at http://www.instilbio.com under the Corporate Governance section of our Investors page. We will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w:t>
      </w:r>
    </w:p>
    <w:p>
      <w:pPr>
        <w:spacing w:after="0" w:line="13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employees. A copy of the Insider Trading Policy is filed as an exhibit to this Annual Report on Form 10-K. In addition, it is the Company’s practice to comply with the applicable laws and regulations relating to insider trading.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sections captioned “Executive Compensation” and “Director Compensation” in the 2026 Proxy Statement and is incorporated in this report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sections captioned “Security Ownership of Certain Beneficial Owners and Management” and “Securities Authorized for Issuance under Equity Compensation Plans” in the 2026 Proxy Statement and is incorporated in this report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180" w:firstLine="405"/>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sections captioned “Transactions with Related Persons and Indemnification” and “Information Regarding the Board of Directors and Corporate Governance—Independence of the Board of Directors” in the 2026 Proxy Statement and is incorporated in this report by reference.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9"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required by this Item will be set forth under the section captioned </w:t>
      </w:r>
      <w:r>
        <w:rPr>
          <w:rFonts w:ascii="Times New Roman" w:cs="Times New Roman" w:eastAsia="Times New Roman" w:hAnsi="Times New Roman"/>
          <w:sz w:val="18"/>
          <w:szCs w:val="18"/>
          <w:color w:val="252525"/>
        </w:rPr>
        <w:t>“Ratification of Selection of Independent Registered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Accounting Firm” in </w:t>
      </w:r>
      <w:r>
        <w:rPr>
          <w:rFonts w:ascii="Times New Roman" w:cs="Times New Roman" w:eastAsia="Times New Roman" w:hAnsi="Times New Roman"/>
          <w:sz w:val="18"/>
          <w:szCs w:val="18"/>
          <w:color w:val="000000"/>
        </w:rPr>
        <w:t>the 2026 Proxy Statement and is incorporated in this report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response to this portion of Item 15 is set forth under Part II, Item 8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85"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or because the required information is given in the Financial Statements or Notes thereto set forth under Item 8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exhibits listed on the Exhibit Index are either filed or furnished with this report or incorporated herein by reference.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4"/>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40" w:type="dxa"/>
            <w:vAlign w:val="bottom"/>
            <w:gridSpan w:val="16"/>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9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4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Amended and Restated Certificate of Incorporation, as amended (incorporated herein by reference to Exhibit 3.1 to the Company’s</w:t>
              </w:r>
            </w:hyperlink>
          </w:p>
        </w:tc>
        <w:tc>
          <w:tcPr>
            <w:tcW w:w="700" w:type="dxa"/>
            <w:vAlign w:val="bottom"/>
            <w:gridSpan w:val="9"/>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Annual Report on Form 10-K (File No. 001-40215), filed with the SEC on March 21, 2024).</w:t>
              </w:r>
            </w:hyperlink>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98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Amended and Restated Bylaws (incorporated herein by reference to Exhibit 3.2 to the Company’s Current Report on Form 8-K (File No.</w:t>
              </w:r>
            </w:hyperlink>
          </w:p>
        </w:tc>
        <w:tc>
          <w:tcPr>
            <w:tcW w:w="260" w:type="dxa"/>
            <w:vAlign w:val="bottom"/>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001-40215), filed with the SEC on March 23, 2021).</w:t>
              </w:r>
            </w:hyperlink>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98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Description of Securities (incorporated herein by reference to Exhibit 4.1 to the Company’s Annual Report on Form 10-K (File No. 001-</w:t>
              </w:r>
            </w:hyperlink>
          </w:p>
        </w:tc>
        <w:tc>
          <w:tcPr>
            <w:tcW w:w="280" w:type="dxa"/>
            <w:vAlign w:val="bottom"/>
            <w:gridSpan w:val="2"/>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40215)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 on March 7, 2022).</w:t>
              </w:r>
            </w:hyperlink>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120" w:type="dxa"/>
            <w:vAlign w:val="bottom"/>
            <w:gridSpan w:val="20"/>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2021 Equity Incentive Plan and Forms of Option Grant Notice and Agreement, Exercise Notice, Early Exercise Notice and Restricted</w:t>
              </w:r>
            </w:hyperlink>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6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Stock Award Notice (incorporated herein by reference to Exhibit 10.2 to the Company’s Registration Statement on Form S-1 (File No.</w:t>
              </w:r>
            </w:hyperlink>
          </w:p>
        </w:tc>
        <w:tc>
          <w:tcPr>
            <w:tcW w:w="44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8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333-253620), filed with the SEC on March 15, 2021).</w:t>
              </w:r>
            </w:hyperlink>
          </w:p>
        </w:tc>
        <w:tc>
          <w:tcPr>
            <w:tcW w:w="6240" w:type="dxa"/>
            <w:vAlign w:val="bottom"/>
            <w:gridSpan w:val="16"/>
          </w:tcPr>
          <w:p>
            <w:pPr>
              <w:spacing w:after="0"/>
              <w:rPr>
                <w:sz w:val="17"/>
                <w:szCs w:val="17"/>
                <w:color w:val="auto"/>
              </w:rPr>
            </w:pPr>
          </w:p>
        </w:tc>
      </w:tr>
      <w:tr>
        <w:trPr>
          <w:trHeight w:val="250"/>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120" w:type="dxa"/>
            <w:vAlign w:val="bottom"/>
            <w:gridSpan w:val="20"/>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2018 Stock Incentive Plan and Forms of Stock Option Agreement, Notice of Stock Option Grant and Notice of Exercise and Common</w:t>
              </w:r>
            </w:hyperlink>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Stock Purchase Agreement (incorporated herein by reference to Exhibit 10.3 to the Company’s Registration Statement on Form S-1 (File</w:t>
              </w:r>
            </w:hyperlink>
          </w:p>
        </w:tc>
        <w:tc>
          <w:tcPr>
            <w:tcW w:w="2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No. 333-253620), filed with the SEC on February 26, 2021).</w:t>
              </w:r>
            </w:hyperlink>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50"/>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120" w:type="dxa"/>
            <w:vAlign w:val="bottom"/>
            <w:gridSpan w:val="2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2021 Employee Stock Purchase Plan (incorporated herein by reference to Exhibit 10.4 to the Company’s Registration Statement on</w:t>
              </w:r>
            </w:hyperlink>
          </w:p>
        </w:tc>
      </w:tr>
      <w:tr>
        <w:trPr>
          <w:trHeight w:val="196"/>
        </w:trPr>
        <w:tc>
          <w:tcPr>
            <w:tcW w:w="1120" w:type="dxa"/>
            <w:vAlign w:val="bottom"/>
          </w:tcPr>
          <w:p>
            <w:pPr>
              <w:spacing w:after="0"/>
              <w:rPr>
                <w:sz w:val="17"/>
                <w:szCs w:val="17"/>
                <w:color w:val="auto"/>
              </w:rPr>
            </w:pPr>
          </w:p>
        </w:tc>
        <w:tc>
          <w:tcPr>
            <w:tcW w:w="530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Form S-1 (File No. 333-253620), filed with the SEC on March 15, 2021).</w:t>
              </w:r>
            </w:hyperlink>
          </w:p>
        </w:tc>
        <w:tc>
          <w:tcPr>
            <w:tcW w:w="4140" w:type="dxa"/>
            <w:vAlign w:val="bottom"/>
            <w:tcBorders>
              <w:top w:val="single" w:sz="8" w:color="0000FF"/>
            </w:tcBorders>
            <w:gridSpan w:val="6"/>
          </w:tcPr>
          <w:p>
            <w:pPr>
              <w:spacing w:after="0"/>
              <w:rPr>
                <w:sz w:val="17"/>
                <w:szCs w:val="17"/>
                <w:color w:val="auto"/>
              </w:rPr>
            </w:pPr>
          </w:p>
        </w:tc>
        <w:tc>
          <w:tcPr>
            <w:tcW w:w="680" w:type="dxa"/>
            <w:vAlign w:val="bottom"/>
            <w:gridSpan w:val="8"/>
          </w:tcPr>
          <w:p>
            <w:pPr>
              <w:spacing w:after="0"/>
              <w:rPr>
                <w:sz w:val="17"/>
                <w:szCs w:val="17"/>
                <w:color w:val="auto"/>
              </w:rPr>
            </w:pPr>
          </w:p>
        </w:tc>
      </w:tr>
      <w:tr>
        <w:trPr>
          <w:trHeight w:val="250"/>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94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Form of Indemnification Agreement with Executive Officers and Directors (incorporated herein by reference to Exhibit 10.5 to the</w:t>
              </w:r>
            </w:hyperlink>
          </w:p>
        </w:tc>
        <w:tc>
          <w:tcPr>
            <w:tcW w:w="700" w:type="dxa"/>
            <w:vAlign w:val="bottom"/>
            <w:gridSpan w:val="9"/>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80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Company’s Registration Statement on Form S-1 (File No. 333-253620), filed with the SEC on March 15, 2021).</w:t>
              </w:r>
            </w:hyperlink>
          </w:p>
        </w:tc>
        <w:tc>
          <w:tcPr>
            <w:tcW w:w="2040" w:type="dxa"/>
            <w:vAlign w:val="bottom"/>
            <w:gridSpan w:val="11"/>
          </w:tcPr>
          <w:p>
            <w:pPr>
              <w:spacing w:after="0"/>
              <w:rPr>
                <w:sz w:val="17"/>
                <w:szCs w:val="17"/>
                <w:color w:val="auto"/>
              </w:rPr>
            </w:pPr>
          </w:p>
        </w:tc>
      </w:tr>
      <w:tr>
        <w:trPr>
          <w:trHeight w:val="250"/>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120" w:type="dxa"/>
            <w:vAlign w:val="bottom"/>
            <w:gridSpan w:val="2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Amended and Restated Non-Employee Director Compensation Policy (incorporated herein by reference to Exhibit 10.6 to the</w:t>
              </w:r>
            </w:hyperlink>
          </w:p>
        </w:tc>
      </w:tr>
      <w:tr>
        <w:trPr>
          <w:trHeight w:val="196"/>
        </w:trPr>
        <w:tc>
          <w:tcPr>
            <w:tcW w:w="1120" w:type="dxa"/>
            <w:vAlign w:val="bottom"/>
          </w:tcPr>
          <w:p>
            <w:pPr>
              <w:spacing w:after="0"/>
              <w:rPr>
                <w:sz w:val="17"/>
                <w:szCs w:val="17"/>
                <w:color w:val="auto"/>
              </w:rPr>
            </w:pPr>
          </w:p>
        </w:tc>
        <w:tc>
          <w:tcPr>
            <w:tcW w:w="906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Company’s Annual Report on Form 10-K (File No. 001-40215), filed with the SEC on March 21, 2024).</w:t>
              </w:r>
            </w:hyperlink>
          </w:p>
        </w:tc>
        <w:tc>
          <w:tcPr>
            <w:tcW w:w="1060" w:type="dxa"/>
            <w:vAlign w:val="bottom"/>
            <w:gridSpan w:val="10"/>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4160" w:type="dxa"/>
            <w:vAlign w:val="bottom"/>
            <w:gridSpan w:val="6"/>
            <w:shd w:val="clear" w:color="auto" w:fill="0000FF"/>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50"/>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120" w:type="dxa"/>
            <w:vAlign w:val="bottom"/>
            <w:gridSpan w:val="20"/>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Executive Employment Agreement, by and between the Registrant and Bronson Crouch, dated as of June 2020 (incorporated herein by</w:t>
              </w:r>
            </w:hyperlink>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6140" w:type="dxa"/>
            <w:vAlign w:val="bottom"/>
            <w:gridSpan w:val="11"/>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reference to Exhibit 10.6 to the Company’s Registration Statement on Form S-1 (File No. 333-253620), filed with the SEC on March 15,</w:t>
              </w:r>
            </w:hyperlink>
          </w:p>
        </w:tc>
      </w:tr>
      <w:tr>
        <w:trPr>
          <w:trHeight w:val="196"/>
        </w:trPr>
        <w:tc>
          <w:tcPr>
            <w:tcW w:w="11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50">
              <w:r>
                <w:rPr>
                  <w:rFonts w:ascii="Times New Roman" w:cs="Times New Roman" w:eastAsia="Times New Roman" w:hAnsi="Times New Roman"/>
                  <w:sz w:val="18"/>
                  <w:szCs w:val="18"/>
                  <w:color w:val="0000FF"/>
                  <w:w w:val="94"/>
                </w:rPr>
                <w:t>2021).</w:t>
              </w:r>
            </w:hyperlink>
          </w:p>
        </w:tc>
        <w:tc>
          <w:tcPr>
            <w:tcW w:w="29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50"/>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120" w:type="dxa"/>
            <w:vAlign w:val="bottom"/>
            <w:gridSpan w:val="20"/>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Second Amended and Restated Executive Employment Agreement, by and between the Company and Sandeep Laumas, M.D. dated as</w:t>
              </w:r>
            </w:hyperlink>
          </w:p>
        </w:tc>
      </w:tr>
      <w:tr>
        <w:trPr>
          <w:trHeight w:val="196"/>
        </w:trPr>
        <w:tc>
          <w:tcPr>
            <w:tcW w:w="1120" w:type="dxa"/>
            <w:vAlign w:val="bottom"/>
          </w:tcPr>
          <w:p>
            <w:pPr>
              <w:spacing w:after="0"/>
              <w:rPr>
                <w:sz w:val="17"/>
                <w:szCs w:val="17"/>
                <w:color w:val="auto"/>
              </w:rPr>
            </w:pPr>
          </w:p>
        </w:tc>
        <w:tc>
          <w:tcPr>
            <w:tcW w:w="950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of May 12, 2025 (incorporated herein by reference to Exhibit 10.1 to the Company’s Quarterly Report on Form 10-Q (File No. 001-</w:t>
              </w:r>
            </w:hyperlink>
          </w:p>
        </w:tc>
        <w:tc>
          <w:tcPr>
            <w:tcW w:w="220" w:type="dxa"/>
            <w:vAlign w:val="bottom"/>
            <w:tcBorders>
              <w:top w:val="single" w:sz="8" w:color="0000FF"/>
            </w:tcBorders>
            <w:gridSpan w:val="4"/>
          </w:tcPr>
          <w:p>
            <w:pPr>
              <w:spacing w:after="0"/>
              <w:rPr>
                <w:sz w:val="17"/>
                <w:szCs w:val="17"/>
                <w:color w:val="auto"/>
              </w:rPr>
            </w:pPr>
          </w:p>
        </w:tc>
        <w:tc>
          <w:tcPr>
            <w:tcW w:w="40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40215)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 on May 13, 2025.)</w:t>
              </w:r>
            </w:hyperlink>
          </w:p>
        </w:tc>
      </w:tr>
      <w:tr>
        <w:trPr>
          <w:trHeight w:val="1539"/>
        </w:trPr>
        <w:tc>
          <w:tcPr>
            <w:tcW w:w="11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90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spacing w:after="0" w:line="18"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8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10.8^</w:t>
            </w:r>
          </w:p>
        </w:tc>
        <w:tc>
          <w:tcPr>
            <w:tcW w:w="96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Lease dated July 10, 2024 by and between Complex Therapeutics LLC and AstraZeneca Pharmaceuticals LP (incorporated herein by</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860" w:type="dxa"/>
            <w:vAlign w:val="bottom"/>
            <w:gridSpan w:val="23"/>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reference to Exhibit 10.3 to the Company’s Quarterly Report on Form 10-Q (File No. 001-40215), filed with the SEC on August 13,</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54">
              <w:r>
                <w:rPr>
                  <w:rFonts w:ascii="Times New Roman" w:cs="Times New Roman" w:eastAsia="Times New Roman" w:hAnsi="Times New Roman"/>
                  <w:sz w:val="18"/>
                  <w:szCs w:val="18"/>
                  <w:color w:val="0000FF"/>
                  <w:w w:val="94"/>
                </w:rPr>
                <w:t>2024).</w:t>
              </w:r>
            </w:hyperlink>
          </w:p>
        </w:tc>
        <w:tc>
          <w:tcPr>
            <w:tcW w:w="92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60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78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10.9^</w:t>
            </w:r>
          </w:p>
        </w:tc>
        <w:tc>
          <w:tcPr>
            <w:tcW w:w="96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Term Loan Agreement, by and between Complex Therapeutics LLC and Midland National Life Insurance Company, dated December</w:t>
              </w:r>
            </w:hyperlink>
          </w:p>
        </w:tc>
        <w:tc>
          <w:tcPr>
            <w:tcW w:w="2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860" w:type="dxa"/>
            <w:vAlign w:val="bottom"/>
            <w:gridSpan w:val="23"/>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20, 2024 (incorporated herein by reference to Exhibit 10.13 to the Company's Annual Report on Form 10-K (File No. 001-40215), filed</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76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with the SEC on March 4. 2025).</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10.10^</w:t>
            </w:r>
          </w:p>
        </w:tc>
        <w:tc>
          <w:tcPr>
            <w:tcW w:w="9860" w:type="dxa"/>
            <w:vAlign w:val="bottom"/>
            <w:gridSpan w:val="23"/>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Recourse Indemnity Agreement, by and between the Registrant and Midland National Life Insurance Company, dated December 22,</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97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2024 (incorporate herein by reference to Exhibit 10.14 to the Company's Annual Report on Form 10-K (File No. 001-40215), filed with</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860" w:type="dxa"/>
            <w:vAlign w:val="bottom"/>
            <w:gridSpan w:val="23"/>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the SEC on March 4, 2025).</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vMerge w:val="restart"/>
          </w:tcPr>
          <w:p>
            <w:pPr>
              <w:spacing w:after="0" w:line="129" w:lineRule="exact"/>
              <w:rPr>
                <w:rFonts w:ascii="Times New Roman" w:cs="Times New Roman" w:eastAsia="Times New Roman" w:hAnsi="Times New Roman"/>
                <w:sz w:val="12"/>
                <w:szCs w:val="12"/>
                <w:color w:val="0000FF"/>
              </w:rPr>
            </w:pPr>
            <w:hyperlink r:id="rId157">
              <w:r>
                <w:rPr>
                  <w:rFonts w:ascii="Times New Roman" w:cs="Times New Roman" w:eastAsia="Times New Roman" w:hAnsi="Times New Roman"/>
                  <w:sz w:val="12"/>
                  <w:szCs w:val="12"/>
                  <w:color w:val="0000FF"/>
                </w:rPr>
                <w:t>SM</w:t>
              </w:r>
            </w:hyperlink>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6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10.11</w:t>
            </w:r>
          </w:p>
        </w:tc>
        <w:tc>
          <w:tcPr>
            <w:tcW w:w="2160" w:type="dxa"/>
            <w:vAlign w:val="bottom"/>
            <w:gridSpan w:val="5"/>
            <w:vMerge w:val="restart"/>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Open Market Sale Agreement</w:t>
              </w:r>
            </w:hyperlink>
          </w:p>
        </w:tc>
        <w:tc>
          <w:tcPr>
            <w:tcW w:w="220" w:type="dxa"/>
            <w:vAlign w:val="bottom"/>
            <w:tcBorders>
              <w:bottom w:val="single" w:sz="8" w:color="0000FF"/>
            </w:tcBorders>
            <w:vMerge w:val="continue"/>
          </w:tcPr>
          <w:p>
            <w:pPr>
              <w:spacing w:after="0"/>
              <w:rPr>
                <w:sz w:val="11"/>
                <w:szCs w:val="11"/>
                <w:color w:val="auto"/>
              </w:rPr>
            </w:pPr>
          </w:p>
        </w:tc>
        <w:tc>
          <w:tcPr>
            <w:tcW w:w="7320" w:type="dxa"/>
            <w:vAlign w:val="bottom"/>
            <w:gridSpan w:val="13"/>
            <w:vMerge w:val="restart"/>
          </w:tcPr>
          <w:p>
            <w:pPr>
              <w:spacing w:after="0"/>
              <w:rPr>
                <w:rFonts w:ascii="Times New Roman" w:cs="Times New Roman" w:eastAsia="Times New Roman" w:hAnsi="Times New Roman"/>
                <w:sz w:val="18"/>
                <w:szCs w:val="18"/>
                <w:color w:val="0000FF"/>
                <w:w w:val="98"/>
              </w:rPr>
            </w:pPr>
            <w:hyperlink r:id="rId157">
              <w:r>
                <w:rPr>
                  <w:rFonts w:ascii="Times New Roman" w:cs="Times New Roman" w:eastAsia="Times New Roman" w:hAnsi="Times New Roman"/>
                  <w:sz w:val="18"/>
                  <w:szCs w:val="18"/>
                  <w:color w:val="0000FF"/>
                  <w:w w:val="98"/>
                </w:rPr>
                <w:t>, by and between the Company and Jefferies LLC, dated March 28, 2025 (incorporated by reference to</w:t>
              </w:r>
            </w:hyperlink>
          </w:p>
        </w:tc>
        <w:tc>
          <w:tcPr>
            <w:tcW w:w="160" w:type="dxa"/>
            <w:vAlign w:val="bottom"/>
            <w:gridSpan w:val="4"/>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860" w:type="dxa"/>
            <w:vAlign w:val="bottom"/>
            <w:vMerge w:val="continue"/>
          </w:tcPr>
          <w:p>
            <w:pPr>
              <w:spacing w:after="0"/>
              <w:rPr>
                <w:sz w:val="8"/>
                <w:szCs w:val="8"/>
                <w:color w:val="auto"/>
              </w:rPr>
            </w:pPr>
          </w:p>
        </w:tc>
        <w:tc>
          <w:tcPr>
            <w:tcW w:w="2160" w:type="dxa"/>
            <w:vAlign w:val="bottom"/>
            <w:tcBorders>
              <w:bottom w:val="single" w:sz="8" w:color="0000FF"/>
            </w:tcBorders>
            <w:gridSpan w:val="5"/>
            <w:vMerge w:val="continue"/>
          </w:tcPr>
          <w:p>
            <w:pPr>
              <w:spacing w:after="0"/>
              <w:rPr>
                <w:sz w:val="8"/>
                <w:szCs w:val="8"/>
                <w:color w:val="auto"/>
              </w:rPr>
            </w:pPr>
          </w:p>
        </w:tc>
        <w:tc>
          <w:tcPr>
            <w:tcW w:w="220" w:type="dxa"/>
            <w:vAlign w:val="bottom"/>
          </w:tcPr>
          <w:p>
            <w:pPr>
              <w:spacing w:after="0"/>
              <w:rPr>
                <w:sz w:val="8"/>
                <w:szCs w:val="8"/>
                <w:color w:val="auto"/>
              </w:rPr>
            </w:pPr>
          </w:p>
        </w:tc>
        <w:tc>
          <w:tcPr>
            <w:tcW w:w="7320" w:type="dxa"/>
            <w:vAlign w:val="bottom"/>
            <w:tcBorders>
              <w:bottom w:val="single" w:sz="8" w:color="0000FF"/>
            </w:tcBorders>
            <w:gridSpan w:val="13"/>
            <w:vMerge w:val="continue"/>
          </w:tcPr>
          <w:p>
            <w:pPr>
              <w:spacing w:after="0"/>
              <w:rPr>
                <w:sz w:val="8"/>
                <w:szCs w:val="8"/>
                <w:color w:val="auto"/>
              </w:rPr>
            </w:pPr>
          </w:p>
        </w:tc>
        <w:tc>
          <w:tcPr>
            <w:tcW w:w="1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87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Exhibit 1.1 to the Company’s Current Report on Form 8-K (File No. 001-40215), filed with the SEC on March 31, 2025).</w:t>
              </w:r>
            </w:hyperlink>
          </w:p>
        </w:tc>
        <w:tc>
          <w:tcPr>
            <w:tcW w:w="11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19.1</w:t>
            </w:r>
          </w:p>
        </w:tc>
        <w:tc>
          <w:tcPr>
            <w:tcW w:w="9860" w:type="dxa"/>
            <w:vAlign w:val="bottom"/>
            <w:gridSpan w:val="23"/>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Insider Trading Policy (incorporated by reference to Exhibit 19.1 to the Company’s Annual Report on Form 10-K (File No. 001-40215),</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80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filed with the SEC on March 4, 2025)</w:t>
              </w:r>
              <w:r>
                <w:rPr>
                  <w:rFonts w:ascii="Times New Roman" w:cs="Times New Roman" w:eastAsia="Times New Roman" w:hAnsi="Times New Roman"/>
                  <w:sz w:val="18"/>
                  <w:szCs w:val="18"/>
                  <w:u w:val="single" w:color="auto"/>
                  <w:color w:val="0000FF"/>
                </w:rPr>
                <w:t>.</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21.1*</w:t>
            </w:r>
          </w:p>
        </w:tc>
        <w:tc>
          <w:tcPr>
            <w:tcW w:w="27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714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23.1*</w:t>
            </w:r>
          </w:p>
        </w:tc>
        <w:tc>
          <w:tcPr>
            <w:tcW w:w="4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554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8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24.1*</w:t>
            </w: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Power of Attorney (Included in signature pages hereto)</w:t>
            </w:r>
          </w:p>
        </w:tc>
        <w:tc>
          <w:tcPr>
            <w:tcW w:w="0" w:type="dxa"/>
            <w:vAlign w:val="bottom"/>
          </w:tcPr>
          <w:p>
            <w:pPr>
              <w:spacing w:after="0"/>
              <w:rPr>
                <w:sz w:val="1"/>
                <w:szCs w:val="1"/>
                <w:color w:val="auto"/>
              </w:rPr>
            </w:pPr>
          </w:p>
        </w:tc>
      </w:tr>
      <w:tr>
        <w:trPr>
          <w:trHeight w:val="229"/>
        </w:trPr>
        <w:tc>
          <w:tcPr>
            <w:tcW w:w="8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31.1*</w:t>
            </w:r>
          </w:p>
        </w:tc>
        <w:tc>
          <w:tcPr>
            <w:tcW w:w="96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24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52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31.2*</w:t>
            </w:r>
          </w:p>
        </w:tc>
        <w:tc>
          <w:tcPr>
            <w:tcW w:w="95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28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52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32.1*††</w:t>
            </w: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60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32.2*††</w:t>
            </w:r>
          </w:p>
        </w:tc>
        <w:tc>
          <w:tcPr>
            <w:tcW w:w="95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30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9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97.1+</w:t>
            </w:r>
          </w:p>
        </w:tc>
        <w:tc>
          <w:tcPr>
            <w:tcW w:w="98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Incentive Compensation Recoupment Policy (incorporated herein by reference to Exhibit 97.1 to the Company’s Annual Report on Form</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9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10-K (File No. 001-40215), filed with the SEC on March 21, 2024).</w:t>
              </w:r>
            </w:hyperlink>
          </w:p>
        </w:tc>
        <w:tc>
          <w:tcPr>
            <w:tcW w:w="49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120" w:right="720" w:hanging="700"/>
        <w:spacing w:after="0" w:line="212" w:lineRule="auto"/>
        <w:tabs>
          <w:tab w:leader="none" w:pos="1120" w:val="left"/>
        </w:tabs>
        <w:numPr>
          <w:ilvl w:val="0"/>
          <w:numId w:val="6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following financial information from Instil Bio, Inc.</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Annual Report on Form 10-K for the year ended December 31, 2025 formatted in Inline XBRL (Extensible Business Reporting Language) includes: (i) the Consolidated Balance Sheets, (ii) the Consolidated Statements of Operations and Comprehensive Loss, (iii) the Consolidated Statements of Stockholders Equity, (v) the Consolidated Statements of Cash Flows, and (vi) Notes to the Consolidated Financial Statements.</w:t>
      </w:r>
    </w:p>
    <w:p>
      <w:pPr>
        <w:spacing w:after="0" w:line="40" w:lineRule="exact"/>
        <w:rPr>
          <w:sz w:val="20"/>
          <w:szCs w:val="20"/>
          <w:color w:val="auto"/>
        </w:rPr>
      </w:pPr>
    </w:p>
    <w:p>
      <w:pPr>
        <w:ind w:right="3580" w:firstLine="420"/>
        <w:spacing w:after="0" w:line="433" w:lineRule="auto"/>
        <w:tabs>
          <w:tab w:leader="none" w:pos="111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69862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Confidential treatment has been requested for portions of this agreement.</w:t>
      </w:r>
    </w:p>
    <w:p>
      <w:pPr>
        <w:spacing w:after="0" w:line="9" w:lineRule="exact"/>
        <w:rPr>
          <w:sz w:val="20"/>
          <w:szCs w:val="20"/>
          <w:color w:val="auto"/>
        </w:rPr>
      </w:pPr>
    </w:p>
    <w:p>
      <w:pPr>
        <w:ind w:left="440" w:right="160" w:hanging="433"/>
        <w:spacing w:after="0" w:line="250" w:lineRule="auto"/>
        <w:tabs>
          <w:tab w:leader="none" w:pos="2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agreement have been omitted in accordance with Item 601(b)(2) of Regulation S-K. A copy of any omitted schedules will be furnished supplementally to the SEC upon request.</w:t>
      </w:r>
    </w:p>
    <w:p>
      <w:pPr>
        <w:spacing w:after="0" w:line="1" w:lineRule="exact"/>
        <w:rPr>
          <w:sz w:val="20"/>
          <w:szCs w:val="20"/>
          <w:color w:val="auto"/>
        </w:rPr>
      </w:pPr>
    </w:p>
    <w:p>
      <w:pPr>
        <w:ind w:left="440" w:right="780" w:hanging="433"/>
        <w:spacing w:after="0" w:line="250" w:lineRule="auto"/>
        <w:tabs>
          <w:tab w:leader="none" w:pos="26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because they are not material and are the type that the Company treats as private or confidential, in accordance with Item 601(b)(10) of Regulation S-K.</w:t>
      </w:r>
    </w:p>
    <w:p>
      <w:pPr>
        <w:spacing w:after="0" w:line="1" w:lineRule="exact"/>
        <w:rPr>
          <w:sz w:val="20"/>
          <w:szCs w:val="20"/>
          <w:color w:val="auto"/>
        </w:rPr>
      </w:pPr>
    </w:p>
    <w:p>
      <w:pPr>
        <w:ind w:left="280" w:hanging="273"/>
        <w:spacing w:after="0"/>
        <w:tabs>
          <w:tab w:leader="none" w:pos="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9" w:lineRule="exact"/>
        <w:rPr>
          <w:sz w:val="20"/>
          <w:szCs w:val="20"/>
          <w:color w:val="auto"/>
        </w:rPr>
      </w:pPr>
    </w:p>
    <w:p>
      <w:pPr>
        <w:ind w:left="440" w:hanging="433"/>
        <w:spacing w:after="0" w:line="253" w:lineRule="auto"/>
        <w:tabs>
          <w:tab w:leader="none" w:pos="35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on Form 10-K pursuant to 18 U.S.C. Section 1350, as adopted pursuant to Section 906 of the Sarbanes-Oxley Act of 2002, and shall not be deemed “filed” by the registrant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417" w:right="81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INSTIL BIO, INC.</w:t>
      </w:r>
    </w:p>
    <w:p>
      <w:pPr>
        <w:spacing w:after="0" w:line="337" w:lineRule="exact"/>
        <w:rPr>
          <w:sz w:val="20"/>
          <w:szCs w:val="20"/>
          <w:color w:val="auto"/>
        </w:rPr>
      </w:pPr>
    </w:p>
    <w:p>
      <w:pPr>
        <w:ind w:left="20"/>
        <w:spacing w:after="0"/>
        <w:tabs>
          <w:tab w:leader="none" w:pos="5640" w:val="left"/>
          <w:tab w:leader="none" w:pos="6360" w:val="left"/>
        </w:tabs>
        <w:rPr>
          <w:sz w:val="20"/>
          <w:szCs w:val="20"/>
          <w:color w:val="auto"/>
        </w:rPr>
      </w:pPr>
      <w:r>
        <w:rPr>
          <w:rFonts w:ascii="Times New Roman" w:cs="Times New Roman" w:eastAsia="Times New Roman" w:hAnsi="Times New Roman"/>
          <w:sz w:val="18"/>
          <w:szCs w:val="18"/>
          <w:color w:val="auto"/>
        </w:rPr>
        <w:t>March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Bronson Crouch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34290</wp:posOffset>
            </wp:positionV>
            <wp:extent cx="30943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5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Bronson Crouch</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Bronson Crouch and Sandeep Laumas, M.D., jointly and each one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that all said attorneys-in-fact and agents, or his or her substitute or substitutes, may lawfully do or cause to be done by virtue hereof.</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80" w:type="dxa"/>
            <w:vAlign w:val="bottom"/>
          </w:tcPr>
          <w:p>
            <w:pPr>
              <w:spacing w:after="0"/>
              <w:rPr>
                <w:sz w:val="20"/>
                <w:szCs w:val="20"/>
                <w:color w:val="auto"/>
              </w:rPr>
            </w:pPr>
          </w:p>
        </w:tc>
        <w:tc>
          <w:tcPr>
            <w:tcW w:w="5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7"/>
        </w:trPr>
        <w:tc>
          <w:tcPr>
            <w:tcW w:w="3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49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Bronson Crouch</w:t>
            </w:r>
          </w:p>
        </w:tc>
        <w:tc>
          <w:tcPr>
            <w:tcW w:w="80" w:type="dxa"/>
            <w:vAlign w:val="bottom"/>
          </w:tcPr>
          <w:p>
            <w:pPr>
              <w:spacing w:after="0"/>
              <w:rPr>
                <w:sz w:val="24"/>
                <w:szCs w:val="24"/>
                <w:color w:val="auto"/>
              </w:rPr>
            </w:pPr>
          </w:p>
        </w:tc>
        <w:tc>
          <w:tcPr>
            <w:tcW w:w="5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7"/>
        </w:trPr>
        <w:tc>
          <w:tcPr>
            <w:tcW w:w="3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Bronson Crouch</w:t>
            </w:r>
          </w:p>
        </w:tc>
        <w:tc>
          <w:tcPr>
            <w:tcW w:w="80" w:type="dxa"/>
            <w:vAlign w:val="bottom"/>
          </w:tcPr>
          <w:p>
            <w:pPr>
              <w:spacing w:after="0"/>
              <w:rPr>
                <w:sz w:val="20"/>
                <w:szCs w:val="20"/>
                <w:color w:val="auto"/>
              </w:rPr>
            </w:pPr>
          </w:p>
        </w:tc>
        <w:tc>
          <w:tcPr>
            <w:tcW w:w="5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020" w:type="dxa"/>
            <w:vAlign w:val="bottom"/>
          </w:tcPr>
          <w:p>
            <w:pPr>
              <w:spacing w:after="0"/>
              <w:rPr>
                <w:sz w:val="20"/>
                <w:szCs w:val="20"/>
                <w:color w:val="auto"/>
              </w:rPr>
            </w:pPr>
          </w:p>
        </w:tc>
      </w:tr>
      <w:tr>
        <w:trPr>
          <w:trHeight w:val="54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Sandeep Laumas, M.D.</w:t>
            </w:r>
          </w:p>
        </w:tc>
        <w:tc>
          <w:tcPr>
            <w:tcW w:w="80" w:type="dxa"/>
            <w:vAlign w:val="bottom"/>
          </w:tcPr>
          <w:p>
            <w:pPr>
              <w:spacing w:after="0"/>
              <w:rPr>
                <w:sz w:val="24"/>
                <w:szCs w:val="24"/>
                <w:color w:val="auto"/>
              </w:rPr>
            </w:pPr>
          </w:p>
        </w:tc>
        <w:tc>
          <w:tcPr>
            <w:tcW w:w="5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7"/>
        </w:trPr>
        <w:tc>
          <w:tcPr>
            <w:tcW w:w="3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Sandeep Laumas, M.D.</w:t>
            </w:r>
          </w:p>
        </w:tc>
        <w:tc>
          <w:tcPr>
            <w:tcW w:w="80" w:type="dxa"/>
            <w:vAlign w:val="bottom"/>
          </w:tcPr>
          <w:p>
            <w:pPr>
              <w:spacing w:after="0"/>
              <w:rPr>
                <w:sz w:val="20"/>
                <w:szCs w:val="20"/>
                <w:color w:val="auto"/>
              </w:rPr>
            </w:pPr>
          </w:p>
        </w:tc>
        <w:tc>
          <w:tcPr>
            <w:tcW w:w="5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020" w:type="dxa"/>
            <w:vAlign w:val="bottom"/>
          </w:tcPr>
          <w:p>
            <w:pPr>
              <w:spacing w:after="0"/>
              <w:rPr>
                <w:sz w:val="20"/>
                <w:szCs w:val="20"/>
                <w:color w:val="auto"/>
              </w:rPr>
            </w:pPr>
          </w:p>
        </w:tc>
      </w:tr>
      <w:tr>
        <w:trPr>
          <w:trHeight w:val="54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Gwendolyn Binder, Ph.D.</w:t>
            </w:r>
          </w:p>
        </w:tc>
        <w:tc>
          <w:tcPr>
            <w:tcW w:w="80" w:type="dxa"/>
            <w:vAlign w:val="bottom"/>
          </w:tcPr>
          <w:p>
            <w:pPr>
              <w:spacing w:after="0"/>
              <w:rPr>
                <w:sz w:val="24"/>
                <w:szCs w:val="24"/>
                <w:color w:val="auto"/>
              </w:rPr>
            </w:pPr>
          </w:p>
        </w:tc>
        <w:tc>
          <w:tcPr>
            <w:tcW w:w="5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7"/>
        </w:trPr>
        <w:tc>
          <w:tcPr>
            <w:tcW w:w="3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Gwendolyn Binder, Ph.D.</w:t>
            </w:r>
          </w:p>
        </w:tc>
        <w:tc>
          <w:tcPr>
            <w:tcW w:w="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4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Neil Gibson, Ph.D.</w:t>
            </w:r>
          </w:p>
        </w:tc>
        <w:tc>
          <w:tcPr>
            <w:tcW w:w="80" w:type="dxa"/>
            <w:vAlign w:val="bottom"/>
          </w:tcPr>
          <w:p>
            <w:pPr>
              <w:spacing w:after="0"/>
              <w:rPr>
                <w:sz w:val="24"/>
                <w:szCs w:val="24"/>
                <w:color w:val="auto"/>
              </w:rPr>
            </w:pPr>
          </w:p>
        </w:tc>
        <w:tc>
          <w:tcPr>
            <w:tcW w:w="5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7"/>
        </w:trPr>
        <w:tc>
          <w:tcPr>
            <w:tcW w:w="3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Neil Gibson, Ph.D.</w:t>
            </w:r>
          </w:p>
        </w:tc>
        <w:tc>
          <w:tcPr>
            <w:tcW w:w="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4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George Matcham, Ph.D.</w:t>
            </w:r>
          </w:p>
        </w:tc>
        <w:tc>
          <w:tcPr>
            <w:tcW w:w="80" w:type="dxa"/>
            <w:vAlign w:val="bottom"/>
          </w:tcPr>
          <w:p>
            <w:pPr>
              <w:spacing w:after="0"/>
              <w:rPr>
                <w:sz w:val="24"/>
                <w:szCs w:val="24"/>
                <w:color w:val="auto"/>
              </w:rPr>
            </w:pPr>
          </w:p>
        </w:tc>
        <w:tc>
          <w:tcPr>
            <w:tcW w:w="5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7"/>
        </w:trPr>
        <w:tc>
          <w:tcPr>
            <w:tcW w:w="3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Matcham, Ph.D.</w:t>
            </w:r>
          </w:p>
        </w:tc>
        <w:tc>
          <w:tcPr>
            <w:tcW w:w="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4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 Kent McGaughy, Jr.</w:t>
            </w:r>
          </w:p>
        </w:tc>
        <w:tc>
          <w:tcPr>
            <w:tcW w:w="80" w:type="dxa"/>
            <w:vAlign w:val="bottom"/>
          </w:tcPr>
          <w:p>
            <w:pPr>
              <w:spacing w:after="0"/>
              <w:rPr>
                <w:sz w:val="24"/>
                <w:szCs w:val="24"/>
                <w:color w:val="auto"/>
              </w:rPr>
            </w:pPr>
          </w:p>
        </w:tc>
        <w:tc>
          <w:tcPr>
            <w:tcW w:w="5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7"/>
        </w:trPr>
        <w:tc>
          <w:tcPr>
            <w:tcW w:w="3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 Kent McGaughy, Jr.</w:t>
            </w:r>
          </w:p>
        </w:tc>
        <w:tc>
          <w:tcPr>
            <w:tcW w:w="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INSTIL BIO, INC.</w:t>
      </w:r>
    </w:p>
    <w:p>
      <w:pPr>
        <w:spacing w:after="0" w:line="1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18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Name of Entity</w:t>
            </w:r>
          </w:p>
        </w:tc>
        <w:tc>
          <w:tcPr>
            <w:tcW w:w="52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Jurisdiction of Organization</w:t>
            </w:r>
          </w:p>
        </w:tc>
      </w:tr>
      <w:tr>
        <w:trPr>
          <w:trHeight w:val="268"/>
        </w:trPr>
        <w:tc>
          <w:tcPr>
            <w:tcW w:w="180" w:type="dxa"/>
            <w:vAlign w:val="bottom"/>
          </w:tcPr>
          <w:p>
            <w:pPr>
              <w:spacing w:after="0"/>
              <w:rPr>
                <w:sz w:val="20"/>
                <w:szCs w:val="20"/>
                <w:color w:val="auto"/>
              </w:rPr>
            </w:pPr>
            <w:r>
              <w:rPr>
                <w:rFonts w:ascii="Times New Roman" w:cs="Times New Roman" w:eastAsia="Times New Roman" w:hAnsi="Times New Roman"/>
                <w:sz w:val="22"/>
                <w:szCs w:val="22"/>
                <w:color w:val="auto"/>
                <w:w w:val="96"/>
              </w:rPr>
              <w:t>1.</w:t>
            </w:r>
          </w:p>
        </w:tc>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Instil Bio (UK) Limited</w:t>
            </w:r>
          </w:p>
        </w:tc>
        <w:tc>
          <w:tcPr>
            <w:tcW w:w="260" w:type="dxa"/>
            <w:vAlign w:val="bottom"/>
          </w:tcPr>
          <w:p>
            <w:pPr>
              <w:spacing w:after="0"/>
              <w:rPr>
                <w:sz w:val="23"/>
                <w:szCs w:val="23"/>
                <w:color w:val="auto"/>
              </w:rPr>
            </w:pPr>
          </w:p>
        </w:tc>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307"/>
        </w:trPr>
        <w:tc>
          <w:tcPr>
            <w:tcW w:w="5640" w:type="dxa"/>
            <w:vAlign w:val="bottom"/>
            <w:gridSpan w:val="3"/>
          </w:tcPr>
          <w:p>
            <w:pPr>
              <w:spacing w:after="0" w:line="307" w:lineRule="exact"/>
              <w:rPr>
                <w:sz w:val="20"/>
                <w:szCs w:val="20"/>
                <w:color w:val="auto"/>
              </w:rPr>
            </w:pPr>
            <w:r>
              <w:rPr>
                <w:rFonts w:ascii="Times New Roman" w:cs="Times New Roman" w:eastAsia="Times New Roman" w:hAnsi="Times New Roman"/>
                <w:sz w:val="35"/>
                <w:szCs w:val="35"/>
                <w:color w:val="auto"/>
                <w:vertAlign w:val="subscript"/>
              </w:rPr>
              <w:t>2.</w:t>
            </w:r>
            <w:r>
              <w:rPr>
                <w:rFonts w:ascii="Times New Roman" w:cs="Times New Roman" w:eastAsia="Times New Roman" w:hAnsi="Times New Roman"/>
                <w:sz w:val="16"/>
                <w:szCs w:val="16"/>
                <w:color w:val="auto"/>
              </w:rPr>
              <w:t xml:space="preserve"> Cellular Therapeutics Limited</w:t>
            </w: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97"/>
        </w:trPr>
        <w:tc>
          <w:tcPr>
            <w:tcW w:w="5640" w:type="dxa"/>
            <w:vAlign w:val="bottom"/>
            <w:gridSpan w:val="3"/>
          </w:tcPr>
          <w:p>
            <w:pPr>
              <w:spacing w:after="0" w:line="297" w:lineRule="exact"/>
              <w:rPr>
                <w:sz w:val="20"/>
                <w:szCs w:val="20"/>
                <w:color w:val="auto"/>
              </w:rPr>
            </w:pPr>
            <w:r>
              <w:rPr>
                <w:rFonts w:ascii="Times New Roman" w:cs="Times New Roman" w:eastAsia="Times New Roman" w:hAnsi="Times New Roman"/>
                <w:sz w:val="34"/>
                <w:szCs w:val="34"/>
                <w:color w:val="auto"/>
                <w:vertAlign w:val="subscript"/>
              </w:rPr>
              <w:t>3.</w:t>
            </w:r>
            <w:r>
              <w:rPr>
                <w:rFonts w:ascii="Times New Roman" w:cs="Times New Roman" w:eastAsia="Times New Roman" w:hAnsi="Times New Roman"/>
                <w:sz w:val="16"/>
                <w:szCs w:val="16"/>
                <w:color w:val="auto"/>
              </w:rPr>
              <w:t xml:space="preserve"> Complex Therapeutics Mezzanine LLC</w:t>
            </w: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640" w:type="dxa"/>
            <w:vAlign w:val="bottom"/>
            <w:gridSpan w:val="3"/>
          </w:tcPr>
          <w:p>
            <w:pPr>
              <w:spacing w:after="0" w:line="297" w:lineRule="exact"/>
              <w:rPr>
                <w:sz w:val="20"/>
                <w:szCs w:val="20"/>
                <w:color w:val="auto"/>
              </w:rPr>
            </w:pPr>
            <w:r>
              <w:rPr>
                <w:rFonts w:ascii="Times New Roman" w:cs="Times New Roman" w:eastAsia="Times New Roman" w:hAnsi="Times New Roman"/>
                <w:sz w:val="34"/>
                <w:szCs w:val="34"/>
                <w:color w:val="auto"/>
                <w:vertAlign w:val="subscript"/>
              </w:rPr>
              <w:t>4.</w:t>
            </w:r>
            <w:r>
              <w:rPr>
                <w:rFonts w:ascii="Times New Roman" w:cs="Times New Roman" w:eastAsia="Times New Roman" w:hAnsi="Times New Roman"/>
                <w:sz w:val="16"/>
                <w:szCs w:val="16"/>
                <w:color w:val="auto"/>
              </w:rPr>
              <w:t xml:space="preserve"> Complex Therapeutics LLC</w:t>
            </w: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571"/>
        </w:trPr>
        <w:tc>
          <w:tcPr>
            <w:tcW w:w="5640" w:type="dxa"/>
            <w:vAlign w:val="bottom"/>
            <w:gridSpan w:val="3"/>
          </w:tcPr>
          <w:p>
            <w:pPr>
              <w:spacing w:after="0"/>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18"/>
                <w:szCs w:val="18"/>
                <w:color w:val="auto"/>
              </w:rPr>
              <w:t xml:space="preserve"> Axion Bio, Inc (formerly SynBioTx, Inc.)</w:t>
            </w: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0880"/>
          </w:cols>
          <w:pgMar w:left="680" w:top="122"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333-283205 on Form S-3 and Registration Statement Nos. 333-255355, 333-278154, and 333-285526 on Form S-8 of our report dated March 27, 2026, relating to the financial statements of Instil Bio, Inc. appearing in this Annual Report on Form 10-K for the year ended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p>
      <w:pPr>
        <w:sectPr>
          <w:pgSz w:w="11900" w:h="16838" w:orient="portrait"/>
          <w:cols w:equalWidth="0" w:num="1">
            <w:col w:w="11020"/>
          </w:cols>
          <w:pgMar w:left="320" w:top="1400" w:right="55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Bronson Crouch, certify that:</w:t>
      </w:r>
    </w:p>
    <w:p>
      <w:pPr>
        <w:spacing w:after="0" w:line="185" w:lineRule="exact"/>
        <w:rPr>
          <w:sz w:val="20"/>
          <w:szCs w:val="20"/>
          <w:color w:val="auto"/>
        </w:rPr>
      </w:pPr>
    </w:p>
    <w:p>
      <w:pPr>
        <w:ind w:left="480" w:hanging="454"/>
        <w:spacing w:after="0"/>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Instil Bio, Inc.;</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jc w:val="both"/>
        <w:ind w:left="480" w:right="300" w:hanging="454"/>
        <w:spacing w:after="0" w:line="274" w:lineRule="auto"/>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4" w:lineRule="exact"/>
        <w:rPr>
          <w:rFonts w:ascii="Times New Roman" w:cs="Times New Roman" w:eastAsia="Times New Roman" w:hAnsi="Times New Roman"/>
          <w:sz w:val="18"/>
          <w:szCs w:val="18"/>
          <w:color w:val="auto"/>
        </w:rPr>
      </w:pPr>
    </w:p>
    <w:p>
      <w:pPr>
        <w:ind w:left="480" w:right="260" w:hanging="454"/>
        <w:spacing w:after="0" w:line="297" w:lineRule="auto"/>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4" w:lineRule="exact"/>
        <w:rPr>
          <w:rFonts w:ascii="Times New Roman" w:cs="Times New Roman" w:eastAsia="Times New Roman" w:hAnsi="Times New Roman"/>
          <w:sz w:val="18"/>
          <w:szCs w:val="18"/>
          <w:color w:val="auto"/>
        </w:rPr>
      </w:pPr>
    </w:p>
    <w:p>
      <w:pPr>
        <w:ind w:left="480" w:right="300" w:hanging="454"/>
        <w:spacing w:after="0" w:line="274" w:lineRule="auto"/>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4" w:lineRule="exact"/>
        <w:rPr>
          <w:rFonts w:ascii="Times New Roman" w:cs="Times New Roman" w:eastAsia="Times New Roman" w:hAnsi="Times New Roman"/>
          <w:sz w:val="18"/>
          <w:szCs w:val="18"/>
          <w:color w:val="auto"/>
        </w:rPr>
      </w:pPr>
    </w:p>
    <w:p>
      <w:pPr>
        <w:ind w:left="940" w:right="100" w:hanging="469"/>
        <w:spacing w:after="0" w:line="281" w:lineRule="auto"/>
        <w:tabs>
          <w:tab w:leader="none" w:pos="9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1" w:lineRule="exact"/>
        <w:rPr>
          <w:rFonts w:ascii="Times New Roman" w:cs="Times New Roman" w:eastAsia="Times New Roman" w:hAnsi="Times New Roman"/>
          <w:sz w:val="18"/>
          <w:szCs w:val="18"/>
          <w:color w:val="auto"/>
        </w:rPr>
      </w:pPr>
    </w:p>
    <w:p>
      <w:pPr>
        <w:ind w:left="940" w:right="420" w:hanging="469"/>
        <w:spacing w:after="0" w:line="274" w:lineRule="auto"/>
        <w:tabs>
          <w:tab w:leader="none" w:pos="9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9" w:lineRule="exact"/>
        <w:rPr>
          <w:rFonts w:ascii="Times New Roman" w:cs="Times New Roman" w:eastAsia="Times New Roman" w:hAnsi="Times New Roman"/>
          <w:sz w:val="18"/>
          <w:szCs w:val="18"/>
          <w:color w:val="auto"/>
        </w:rPr>
      </w:pPr>
    </w:p>
    <w:p>
      <w:pPr>
        <w:jc w:val="both"/>
        <w:ind w:left="940" w:right="580" w:hanging="469"/>
        <w:spacing w:after="0" w:line="312" w:lineRule="auto"/>
        <w:tabs>
          <w:tab w:leader="none" w:pos="94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5" w:lineRule="exact"/>
        <w:rPr>
          <w:rFonts w:ascii="Times New Roman" w:cs="Times New Roman" w:eastAsia="Times New Roman" w:hAnsi="Times New Roman"/>
          <w:sz w:val="17"/>
          <w:szCs w:val="17"/>
          <w:color w:val="auto"/>
        </w:rPr>
      </w:pPr>
    </w:p>
    <w:p>
      <w:pPr>
        <w:ind w:left="940" w:right="100" w:hanging="469"/>
        <w:spacing w:after="0" w:line="281" w:lineRule="auto"/>
        <w:tabs>
          <w:tab w:leader="none" w:pos="9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39" w:lineRule="exact"/>
        <w:rPr>
          <w:rFonts w:ascii="Times New Roman" w:cs="Times New Roman" w:eastAsia="Times New Roman" w:hAnsi="Times New Roman"/>
          <w:sz w:val="18"/>
          <w:szCs w:val="18"/>
          <w:color w:val="auto"/>
        </w:rPr>
      </w:pPr>
    </w:p>
    <w:p>
      <w:pPr>
        <w:ind w:left="480" w:right="180" w:hanging="454"/>
        <w:spacing w:after="0" w:line="297" w:lineRule="auto"/>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4" w:lineRule="exact"/>
        <w:rPr>
          <w:rFonts w:ascii="Times New Roman" w:cs="Times New Roman" w:eastAsia="Times New Roman" w:hAnsi="Times New Roman"/>
          <w:sz w:val="18"/>
          <w:szCs w:val="18"/>
          <w:color w:val="auto"/>
        </w:rPr>
      </w:pPr>
    </w:p>
    <w:p>
      <w:pPr>
        <w:ind w:left="940" w:right="820" w:hanging="469"/>
        <w:spacing w:after="0" w:line="282" w:lineRule="auto"/>
        <w:tabs>
          <w:tab w:leader="none" w:pos="9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413" w:right="339" w:bottom="1440" w:gutter="0" w:footer="0" w:header="0"/>
        </w:sectPr>
      </w:pPr>
    </w:p>
    <w:bookmarkStart w:id="120" w:name="page121"/>
    <w:bookmarkEnd w:id="120"/>
    <w:p>
      <w:pPr>
        <w:spacing w:after="0" w:line="140" w:lineRule="exact"/>
        <w:rPr>
          <w:sz w:val="20"/>
          <w:szCs w:val="20"/>
          <w:color w:val="auto"/>
        </w:rPr>
      </w:pPr>
    </w:p>
    <w:p>
      <w:pPr>
        <w:ind w:left="940" w:hanging="469"/>
        <w:spacing w:after="0" w:line="297" w:lineRule="auto"/>
        <w:tabs>
          <w:tab w:leader="none" w:pos="9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220"/>
        <w:spacing w:after="0"/>
        <w:rPr>
          <w:sz w:val="20"/>
          <w:szCs w:val="20"/>
          <w:color w:val="auto"/>
        </w:rPr>
      </w:pPr>
      <w:r>
        <w:rPr>
          <w:rFonts w:ascii="Times New Roman" w:cs="Times New Roman" w:eastAsia="Times New Roman" w:hAnsi="Times New Roman"/>
          <w:sz w:val="18"/>
          <w:szCs w:val="18"/>
          <w:color w:val="auto"/>
        </w:rPr>
        <w:t>/s/ Bronson Crouch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54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2" w:lineRule="exact"/>
        <w:rPr>
          <w:sz w:val="20"/>
          <w:szCs w:val="20"/>
          <w:color w:val="auto"/>
        </w:rPr>
      </w:pPr>
    </w:p>
    <w:p>
      <w:pPr>
        <w:jc w:val="center"/>
        <w:ind w:right="6220"/>
        <w:spacing w:after="0"/>
        <w:rPr>
          <w:sz w:val="20"/>
          <w:szCs w:val="20"/>
          <w:color w:val="auto"/>
        </w:rPr>
      </w:pPr>
      <w:r>
        <w:rPr>
          <w:rFonts w:ascii="Times New Roman" w:cs="Times New Roman" w:eastAsia="Times New Roman" w:hAnsi="Times New Roman"/>
          <w:sz w:val="13"/>
          <w:szCs w:val="13"/>
          <w:b w:val="1"/>
          <w:bCs w:val="1"/>
          <w:color w:val="auto"/>
        </w:rPr>
        <w:t>Bronson Crouch</w:t>
      </w:r>
    </w:p>
    <w:p>
      <w:pPr>
        <w:spacing w:after="0" w:line="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3"/>
          <w:szCs w:val="13"/>
          <w:b w:val="1"/>
          <w:bCs w:val="1"/>
          <w:color w:val="auto"/>
        </w:rPr>
        <w:t>Chief Executive Officer (Principal Executive Officer)</w:t>
      </w:r>
    </w:p>
    <w:p>
      <w:pPr>
        <w:sectPr>
          <w:pgSz w:w="11900" w:h="16838" w:orient="portrait"/>
          <w:cols w:equalWidth="0" w:num="1">
            <w:col w:w="10720"/>
          </w:cols>
          <w:pgMar w:left="320" w:top="1440" w:right="85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Sandeep Laumas, certify that:</w:t>
      </w:r>
    </w:p>
    <w:p>
      <w:pPr>
        <w:spacing w:after="0" w:line="185" w:lineRule="exact"/>
        <w:rPr>
          <w:sz w:val="20"/>
          <w:szCs w:val="20"/>
          <w:color w:val="auto"/>
        </w:rPr>
      </w:pPr>
    </w:p>
    <w:p>
      <w:pPr>
        <w:ind w:left="480" w:hanging="454"/>
        <w:spacing w:after="0"/>
        <w:tabs>
          <w:tab w:leader="none" w:pos="4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Instil Bio, Inc.;</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jc w:val="both"/>
        <w:ind w:left="480" w:right="300" w:hanging="454"/>
        <w:spacing w:after="0" w:line="274" w:lineRule="auto"/>
        <w:tabs>
          <w:tab w:leader="none" w:pos="4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4" w:lineRule="exact"/>
        <w:rPr>
          <w:rFonts w:ascii="Times New Roman" w:cs="Times New Roman" w:eastAsia="Times New Roman" w:hAnsi="Times New Roman"/>
          <w:sz w:val="18"/>
          <w:szCs w:val="18"/>
          <w:color w:val="auto"/>
        </w:rPr>
      </w:pPr>
    </w:p>
    <w:p>
      <w:pPr>
        <w:ind w:left="480" w:right="260" w:hanging="454"/>
        <w:spacing w:after="0" w:line="297" w:lineRule="auto"/>
        <w:tabs>
          <w:tab w:leader="none" w:pos="4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4" w:lineRule="exact"/>
        <w:rPr>
          <w:rFonts w:ascii="Times New Roman" w:cs="Times New Roman" w:eastAsia="Times New Roman" w:hAnsi="Times New Roman"/>
          <w:sz w:val="18"/>
          <w:szCs w:val="18"/>
          <w:color w:val="auto"/>
        </w:rPr>
      </w:pPr>
    </w:p>
    <w:p>
      <w:pPr>
        <w:ind w:left="480" w:right="300" w:hanging="454"/>
        <w:spacing w:after="0" w:line="274" w:lineRule="auto"/>
        <w:tabs>
          <w:tab w:leader="none" w:pos="4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4" w:lineRule="exact"/>
        <w:rPr>
          <w:rFonts w:ascii="Times New Roman" w:cs="Times New Roman" w:eastAsia="Times New Roman" w:hAnsi="Times New Roman"/>
          <w:sz w:val="18"/>
          <w:szCs w:val="18"/>
          <w:color w:val="auto"/>
        </w:rPr>
      </w:pPr>
    </w:p>
    <w:p>
      <w:pPr>
        <w:ind w:left="940" w:right="100" w:hanging="469"/>
        <w:spacing w:after="0" w:line="281" w:lineRule="auto"/>
        <w:tabs>
          <w:tab w:leader="none" w:pos="9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1" w:lineRule="exact"/>
        <w:rPr>
          <w:rFonts w:ascii="Times New Roman" w:cs="Times New Roman" w:eastAsia="Times New Roman" w:hAnsi="Times New Roman"/>
          <w:sz w:val="18"/>
          <w:szCs w:val="18"/>
          <w:color w:val="auto"/>
        </w:rPr>
      </w:pPr>
    </w:p>
    <w:p>
      <w:pPr>
        <w:ind w:left="940" w:right="420" w:hanging="469"/>
        <w:spacing w:after="0" w:line="274" w:lineRule="auto"/>
        <w:tabs>
          <w:tab w:leader="none" w:pos="9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Times New Roman" w:cs="Times New Roman" w:eastAsia="Times New Roman" w:hAnsi="Times New Roman"/>
          <w:sz w:val="18"/>
          <w:szCs w:val="18"/>
          <w:color w:val="auto"/>
        </w:rPr>
      </w:pPr>
    </w:p>
    <w:p>
      <w:pPr>
        <w:jc w:val="both"/>
        <w:ind w:left="940" w:right="580" w:hanging="469"/>
        <w:spacing w:after="0" w:line="312" w:lineRule="auto"/>
        <w:tabs>
          <w:tab w:leader="none" w:pos="94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5" w:lineRule="exact"/>
        <w:rPr>
          <w:rFonts w:ascii="Times New Roman" w:cs="Times New Roman" w:eastAsia="Times New Roman" w:hAnsi="Times New Roman"/>
          <w:sz w:val="17"/>
          <w:szCs w:val="17"/>
          <w:color w:val="auto"/>
        </w:rPr>
      </w:pPr>
    </w:p>
    <w:p>
      <w:pPr>
        <w:ind w:left="940" w:right="100" w:hanging="469"/>
        <w:spacing w:after="0" w:line="281" w:lineRule="auto"/>
        <w:tabs>
          <w:tab w:leader="none" w:pos="9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39" w:lineRule="exact"/>
        <w:rPr>
          <w:rFonts w:ascii="Times New Roman" w:cs="Times New Roman" w:eastAsia="Times New Roman" w:hAnsi="Times New Roman"/>
          <w:sz w:val="18"/>
          <w:szCs w:val="18"/>
          <w:color w:val="auto"/>
        </w:rPr>
      </w:pPr>
    </w:p>
    <w:p>
      <w:pPr>
        <w:ind w:left="480" w:right="180" w:hanging="454"/>
        <w:spacing w:after="0" w:line="297" w:lineRule="auto"/>
        <w:tabs>
          <w:tab w:leader="none" w:pos="4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4" w:lineRule="exact"/>
        <w:rPr>
          <w:rFonts w:ascii="Times New Roman" w:cs="Times New Roman" w:eastAsia="Times New Roman" w:hAnsi="Times New Roman"/>
          <w:sz w:val="18"/>
          <w:szCs w:val="18"/>
          <w:color w:val="auto"/>
        </w:rPr>
      </w:pPr>
    </w:p>
    <w:p>
      <w:pPr>
        <w:ind w:left="940" w:right="820" w:hanging="469"/>
        <w:spacing w:after="0" w:line="282" w:lineRule="auto"/>
        <w:tabs>
          <w:tab w:leader="none" w:pos="9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413" w:right="339" w:bottom="1440" w:gutter="0" w:footer="0" w:header="0"/>
        </w:sectPr>
      </w:pPr>
    </w:p>
    <w:bookmarkStart w:id="122" w:name="page123"/>
    <w:bookmarkEnd w:id="122"/>
    <w:p>
      <w:pPr>
        <w:spacing w:after="0" w:line="32" w:lineRule="exact"/>
        <w:rPr>
          <w:sz w:val="20"/>
          <w:szCs w:val="20"/>
          <w:color w:val="auto"/>
        </w:rPr>
      </w:pPr>
    </w:p>
    <w:p>
      <w:pPr>
        <w:ind w:left="940" w:hanging="469"/>
        <w:spacing w:after="0" w:line="297" w:lineRule="auto"/>
        <w:tabs>
          <w:tab w:leader="none" w:pos="9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760"/>
        <w:spacing w:after="0"/>
        <w:rPr>
          <w:sz w:val="20"/>
          <w:szCs w:val="20"/>
          <w:color w:val="auto"/>
        </w:rPr>
      </w:pPr>
      <w:r>
        <w:rPr>
          <w:rFonts w:ascii="Times New Roman" w:cs="Times New Roman" w:eastAsia="Times New Roman" w:hAnsi="Times New Roman"/>
          <w:sz w:val="18"/>
          <w:szCs w:val="18"/>
          <w:color w:val="auto"/>
        </w:rPr>
        <w:t>/s/ Sandeep Laumas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7801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72" w:lineRule="exact"/>
        <w:rPr>
          <w:sz w:val="20"/>
          <w:szCs w:val="20"/>
          <w:color w:val="auto"/>
        </w:rPr>
      </w:pPr>
    </w:p>
    <w:p>
      <w:pPr>
        <w:jc w:val="center"/>
        <w:ind w:right="4760"/>
        <w:spacing w:after="0"/>
        <w:rPr>
          <w:sz w:val="20"/>
          <w:szCs w:val="20"/>
          <w:color w:val="auto"/>
        </w:rPr>
      </w:pPr>
      <w:r>
        <w:rPr>
          <w:rFonts w:ascii="Times New Roman" w:cs="Times New Roman" w:eastAsia="Times New Roman" w:hAnsi="Times New Roman"/>
          <w:sz w:val="13"/>
          <w:szCs w:val="13"/>
          <w:b w:val="1"/>
          <w:bCs w:val="1"/>
          <w:color w:val="auto"/>
        </w:rPr>
        <w:t>Sandeep Laumas</w:t>
      </w:r>
    </w:p>
    <w:p>
      <w:pPr>
        <w:spacing w:after="0" w:line="80" w:lineRule="exact"/>
        <w:rPr>
          <w:sz w:val="20"/>
          <w:szCs w:val="20"/>
          <w:color w:val="auto"/>
        </w:rPr>
      </w:pPr>
    </w:p>
    <w:p>
      <w:pPr>
        <w:jc w:val="center"/>
        <w:ind w:right="4760"/>
        <w:spacing w:after="0"/>
        <w:rPr>
          <w:sz w:val="20"/>
          <w:szCs w:val="20"/>
          <w:color w:val="auto"/>
        </w:rPr>
      </w:pPr>
      <w:r>
        <w:rPr>
          <w:rFonts w:ascii="Times New Roman" w:cs="Times New Roman" w:eastAsia="Times New Roman" w:hAnsi="Times New Roman"/>
          <w:sz w:val="13"/>
          <w:szCs w:val="13"/>
          <w:b w:val="1"/>
          <w:bCs w:val="1"/>
          <w:color w:val="auto"/>
        </w:rPr>
        <w:t>Chief Financial Officer and Chief Business Officer (Principal Financial Officer)</w:t>
      </w:r>
    </w:p>
    <w:p>
      <w:pPr>
        <w:sectPr>
          <w:pgSz w:w="11900" w:h="16838" w:orient="portrait"/>
          <w:cols w:equalWidth="0" w:num="1">
            <w:col w:w="10720"/>
          </w:cols>
          <w:pgMar w:left="320" w:top="1440" w:right="85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Bronson Crouch, Chief Executive Officer of Instil Bio, Inc. (the “Company”), hereby certifies that, to the best of his knowledge:</w:t>
      </w:r>
    </w:p>
    <w:p>
      <w:pPr>
        <w:spacing w:after="0" w:line="115" w:lineRule="exact"/>
        <w:rPr>
          <w:sz w:val="20"/>
          <w:szCs w:val="20"/>
          <w:color w:val="auto"/>
        </w:rPr>
      </w:pPr>
    </w:p>
    <w:p>
      <w:pPr>
        <w:ind w:left="940" w:right="120" w:hanging="469"/>
        <w:spacing w:after="0" w:line="266" w:lineRule="auto"/>
        <w:tabs>
          <w:tab w:leader="none" w:pos="9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period ended December 31, 2025, to which this Certification is attached as Exhibit 32.1 (the “Annual Report”), fully complies with the requirements of Section 13(a) or Section 15(d) of the Exchange Act, and</w:t>
      </w:r>
    </w:p>
    <w:p>
      <w:pPr>
        <w:spacing w:after="0" w:line="337" w:lineRule="exact"/>
        <w:rPr>
          <w:rFonts w:ascii="Times New Roman" w:cs="Times New Roman" w:eastAsia="Times New Roman" w:hAnsi="Times New Roman"/>
          <w:sz w:val="18"/>
          <w:szCs w:val="18"/>
          <w:b w:val="1"/>
          <w:bCs w:val="1"/>
          <w:color w:val="auto"/>
        </w:rPr>
      </w:pPr>
    </w:p>
    <w:p>
      <w:pPr>
        <w:ind w:left="940" w:right="40" w:hanging="469"/>
        <w:spacing w:after="0" w:line="250" w:lineRule="auto"/>
        <w:tabs>
          <w:tab w:leader="none" w:pos="9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set their hand hereto as of March 27, 2026.</w:t>
      </w: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Bronson Crouch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54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Bronson Crouch</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certification accompanies the Form 10-K to which it relates, is not deemed filed with the Securities and Exchange Commission and is not to be incorporated by reference into any filing of Instil Bio, Inc.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240"/>
          </w:cols>
          <w:pgMar w:left="320" w:top="1413"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Bronson Crouch, Chief Executive Officer of Instil Bio, Inc. (the “Company”), hereby certifies that, to the best of his knowledge:</w:t>
      </w:r>
    </w:p>
    <w:p>
      <w:pPr>
        <w:spacing w:after="0" w:line="123" w:lineRule="exact"/>
        <w:rPr>
          <w:sz w:val="20"/>
          <w:szCs w:val="20"/>
          <w:color w:val="auto"/>
        </w:rPr>
      </w:pPr>
    </w:p>
    <w:p>
      <w:pPr>
        <w:ind w:left="940" w:right="120" w:hanging="469"/>
        <w:spacing w:after="0" w:line="250" w:lineRule="auto"/>
        <w:tabs>
          <w:tab w:leader="none" w:pos="9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period ended December 31, 2025, to which this Certification is attached as Exhibit 32.2 (the “Annual Report”), fully complies with the requirements of Section 13(a) or Section 15(d) of the Exchange Act, and</w:t>
      </w:r>
    </w:p>
    <w:p>
      <w:pPr>
        <w:spacing w:after="0" w:line="351" w:lineRule="exact"/>
        <w:rPr>
          <w:rFonts w:ascii="Times New Roman" w:cs="Times New Roman" w:eastAsia="Times New Roman" w:hAnsi="Times New Roman"/>
          <w:sz w:val="18"/>
          <w:szCs w:val="18"/>
          <w:b w:val="1"/>
          <w:bCs w:val="1"/>
          <w:color w:val="auto"/>
        </w:rPr>
      </w:pPr>
    </w:p>
    <w:p>
      <w:pPr>
        <w:ind w:left="940" w:right="80" w:hanging="469"/>
        <w:spacing w:after="0" w:line="266" w:lineRule="auto"/>
        <w:tabs>
          <w:tab w:leader="none" w:pos="9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set their hand hereto as of March 27, 2026.</w:t>
      </w: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Sandeep Laumas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41059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Sandeep Laumas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certification accompanies the Form 10-K to which it relates, is not deemed filed with the Securities and Exchange Commission and is not to be incorporated by reference into any filing of Instil Bio,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1)"/>
      <w:numFmt w:val="decimal"/>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1)"/>
      <w:numFmt w:val="lowerLetter"/>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decimal"/>
      <w:start w:val="8"/>
    </w:lvl>
  </w:abstractNum>
  <w:abstractNum w:abstractNumId="57">
    <w:nsid w:val="5FF87E05"/>
    <w:multiLevelType w:val="hybridMultilevel"/>
    <w:lvl w:ilvl="0">
      <w:lvlJc w:val="left"/>
      <w:lvlText w:val="(%1)"/>
      <w:numFmt w:val="lowerLetter"/>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1"/>
      <w:numFmt w:val="decimal"/>
      <w:start w:val="101"/>
    </w:lvl>
  </w:abstractNum>
  <w:abstractNum w:abstractNumId="60">
    <w:nsid w:val="1DBABF00"/>
    <w:multiLevelType w:val="hybridMultilevel"/>
    <w:lvl w:ilvl="0">
      <w:lvlJc w:val="left"/>
      <w:lvlText w:val="*"/>
      <w:numFmt w:val="bullet"/>
      <w:start w:val="1"/>
    </w:lvl>
    <w:lvl w:ilvl="1">
      <w:lvlJc w:val="left"/>
      <w:lvlText w:val="%2"/>
      <w:numFmt w:val="decimal"/>
      <w:start w:val="104"/>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1."/>
      <w:numFmt w:val="decimal"/>
      <w:start w:val="1"/>
    </w:lvl>
    <w:lvl w:ilvl="1">
      <w:lvlJc w:val="left"/>
      <w:lvlText w:val="(%2)"/>
      <w:numFmt w:val="lowerLetter"/>
      <w:start w:val="1"/>
    </w:lvl>
  </w:abstractNum>
  <w:abstractNum w:abstractNumId="66">
    <w:nsid w:val="6590700B"/>
    <w:multiLevelType w:val="hybridMultilevel"/>
    <w:lvl w:ilvl="0">
      <w:lvlJc w:val="left"/>
      <w:lvlText w:val="(%1)"/>
      <w:numFmt w:val="lowerLetter"/>
      <w:start w:val="2"/>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lowerLetter"/>
      <w:start w:val="2"/>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42" Type="http://schemas.openxmlformats.org/officeDocument/2006/relationships/hyperlink" Target="https://www.sec.gov/Archives/edgar/data/1789769/000178976924000036/amendedandrestatedcertific.htm" TargetMode="External"/><Relationship Id="rId143" Type="http://schemas.openxmlformats.org/officeDocument/2006/relationships/hyperlink" Target="https://www.sec.gov/Archives/edgar/data/0001789769/000119312521091216/d131874dex32.htm" TargetMode="External"/><Relationship Id="rId144" Type="http://schemas.openxmlformats.org/officeDocument/2006/relationships/hyperlink" Target="https://www.sec.gov/Archives/edgar/data/1789769/000178976923000035/a-22ex41descriptionofcommo.htm" TargetMode="External"/><Relationship Id="rId145" Type="http://schemas.openxmlformats.org/officeDocument/2006/relationships/hyperlink" Target="https://www.sec.gov/Archives/edgar/data/0001789769/000119312521080468/d138592dex102.htm" TargetMode="External"/><Relationship Id="rId146" Type="http://schemas.openxmlformats.org/officeDocument/2006/relationships/hyperlink" Target="https://www.sec.gov/Archives/edgar/data/0001789769/000119312521060613/d138592dex103.htm" TargetMode="External"/><Relationship Id="rId147" Type="http://schemas.openxmlformats.org/officeDocument/2006/relationships/hyperlink" Target="https://www.sec.gov/Archives/edgar/data/0001789769/000119312521080468/d138592dex104.htm" TargetMode="External"/><Relationship Id="rId148" Type="http://schemas.openxmlformats.org/officeDocument/2006/relationships/hyperlink" Target="https://www.sec.gov/Archives/edgar/data/0001789769/000119312521080468/d138592dex105.htm" TargetMode="External"/><Relationship Id="rId149" Type="http://schemas.openxmlformats.org/officeDocument/2006/relationships/hyperlink" Target="https://www.sec.gov/Archives/edgar/data/1789769/000178976924000036/exhibit106amendedandrestat.htm" TargetMode="External"/><Relationship Id="rId150" Type="http://schemas.openxmlformats.org/officeDocument/2006/relationships/hyperlink" Target="https://www.sec.gov/Archives/edgar/data/0001789769/000119312521080468/d138592dex106.htm" TargetMode="External"/><Relationship Id="rId151" Type="http://schemas.openxmlformats.org/officeDocument/2006/relationships/hyperlink" Target="https://www.sec.gov/Archives/edgar/data/1789769/000178976925000051/a101instil-proposedamend.htm" TargetMode="External"/><Relationship Id="rId154" Type="http://schemas.openxmlformats.org/officeDocument/2006/relationships/hyperlink" Target="https://www.sec.gov/Archives/edgar/data/1789769/000178976924000086/instil-azleaseredactedfo.htm" TargetMode="External"/><Relationship Id="rId155" Type="http://schemas.openxmlformats.org/officeDocument/2006/relationships/hyperlink" Target="https://www.sec.gov/Archives/edgar/data/1789769/000178976925000017/ex-1013termloanagreement.htm" TargetMode="External"/><Relationship Id="rId156" Type="http://schemas.openxmlformats.org/officeDocument/2006/relationships/hyperlink" Target="https://www.sec.gov/Archives/edgar/data/1789769/000178976925000017/ex-1014instilbioxrecours.htm" TargetMode="External"/><Relationship Id="rId157" Type="http://schemas.openxmlformats.org/officeDocument/2006/relationships/hyperlink" Target="https://www.sec.gov/Archives/edgar/data/1789769/000178976925000024/exh11instil-2025atmxopen.htm" TargetMode="External"/><Relationship Id="rId158" Type="http://schemas.openxmlformats.org/officeDocument/2006/relationships/hyperlink" Target="https://www.sec.gov/Archives/edgar/data/1789769/000178976925000017/ex-191instilbioxinsidert.htm" TargetMode="External"/><Relationship Id="rId159" Type="http://schemas.openxmlformats.org/officeDocument/2006/relationships/hyperlink" Target="https://www.sec.gov/Archives/edgar/data/1789769/000178976924000036/exhibit971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2026-03-27T06:09:25Z</dcterms:created>
  <dcterms:modified xsi:type="dcterms:W3CDTF">2026-03-27T06:09:25Z</dcterms:modified>
</cp:coreProperties>
</file>