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27, 2026</w:t>
      </w:r>
    </w:p>
    <w:p>
      <w:pPr>
        <w:spacing w:after="0" w:line="30"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223520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REGISTRATION STATEMENT</w:t>
      </w:r>
    </w:p>
    <w:p>
      <w:pPr>
        <w:jc w:val="center"/>
        <w:ind w:right="-5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Instil Bio, Inc.</w:t>
      </w:r>
    </w:p>
    <w:p>
      <w:pPr>
        <w:spacing w:after="0" w:line="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83-2072195</w:t>
      </w:r>
    </w:p>
    <w:p>
      <w:pPr>
        <w:spacing w:after="0" w:line="20" w:lineRule="exact"/>
        <w:rPr>
          <w:sz w:val="24"/>
          <w:szCs w:val="24"/>
          <w:color w:val="auto"/>
        </w:rPr>
      </w:pPr>
    </w:p>
    <w:p>
      <w:pPr>
        <w:sectPr>
          <w:pgSz w:w="11900" w:h="16838" w:orient="portrait"/>
          <w:cols w:equalWidth="0" w:num="2">
            <w:col w:w="7100" w:space="720"/>
            <w:col w:w="3020"/>
          </w:cols>
          <w:pgMar w:left="500" w:top="224" w:right="559" w:bottom="1440" w:gutter="0" w:footer="0" w:header="0"/>
          <w:type w:val="continuous"/>
        </w:sectPr>
      </w:pPr>
    </w:p>
    <w:p>
      <w:pPr>
        <w:ind w:left="18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7" w:lineRule="exact"/>
        <w:rPr>
          <w:sz w:val="24"/>
          <w:szCs w:val="24"/>
          <w:color w:val="auto"/>
        </w:rPr>
      </w:pPr>
    </w:p>
    <w:p>
      <w:pPr>
        <w:sectPr>
          <w:pgSz w:w="11900" w:h="16838" w:orient="portrait"/>
          <w:cols w:equalWidth="0" w:num="2">
            <w:col w:w="6980" w:space="720"/>
            <w:col w:w="3140"/>
          </w:cols>
          <w:pgMar w:left="500" w:top="224" w:right="55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3963 Maple Avenue, Suite 350</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Dallas, TX 75219</w:t>
      </w: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offices)(Zip code)</w:t>
      </w:r>
    </w:p>
    <w:p>
      <w:pPr>
        <w:spacing w:after="0" w:line="184"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ectPr>
          <w:pgSz w:w="11900" w:h="16838" w:orient="portrait"/>
          <w:cols w:equalWidth="0" w:num="1">
            <w:col w:w="10840"/>
          </w:cols>
          <w:pgMar w:left="500" w:top="224" w:right="559" w:bottom="1440" w:gutter="0" w:footer="0" w:header="0"/>
          <w:type w:val="continuous"/>
        </w:sectPr>
      </w:pP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Bronson Crouch</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Instil Bio, Inc.</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3963 Maple Avenue, Suite 350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Dallas TX 75219</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(972) 499-3350</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Divakar Gupta</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Courtney M.W. Tygesson</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Cooley LLP</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 Hudson Yards</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Telephone: (212) 479-6000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Facsimile: (212) 479-6275</w:t>
      </w:r>
    </w:p>
    <w:p>
      <w:pPr>
        <w:spacing w:after="0" w:line="202" w:lineRule="exact"/>
        <w:rPr>
          <w:sz w:val="24"/>
          <w:szCs w:val="24"/>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type w:val="continuous"/>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General Instruction E of Form S-8, Instil Bio, Inc. (the “Registrant”) is filing this Registration Statement with the Securities and Exchange Commission (the “Commission”) to register an additional 339,098 shares of common stock issuable pursuant to the Registrant’s 2021 Equity Incentive Plan, pursuant to the provision of the plan providing for an automatic increase in the number of shares of common stock reserved for issuance under the plan effective on January 1, 2026. In accordance with the instructional note to Part I of Form S-8 as promulgated by the Commission, the information specified by Part I of the Form S-8 has been omitted from this Registration Statement.</w:t>
      </w:r>
    </w:p>
    <w:p>
      <w:pPr>
        <w:spacing w:after="0" w:line="183" w:lineRule="exact"/>
        <w:rPr>
          <w:sz w:val="20"/>
          <w:szCs w:val="20"/>
          <w:color w:val="auto"/>
        </w:rPr>
      </w:pPr>
    </w:p>
    <w:p>
      <w:pPr>
        <w:ind w:right="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of the Registrant’s Registration Statements on Form S-8, filed with the Commission on April 20, 2021 (</w:t>
      </w:r>
      <w:hyperlink r:id="rId17">
        <w:r>
          <w:rPr>
            <w:rFonts w:ascii="Times New Roman" w:cs="Times New Roman" w:eastAsia="Times New Roman" w:hAnsi="Times New Roman"/>
            <w:sz w:val="18"/>
            <w:szCs w:val="18"/>
            <w:u w:val="single" w:color="auto"/>
            <w:color w:val="0000EE"/>
          </w:rPr>
          <w:t>File No. 333-255355</w:t>
        </w:r>
      </w:hyperlink>
      <w:r>
        <w:rPr>
          <w:rFonts w:ascii="Times New Roman" w:cs="Times New Roman" w:eastAsia="Times New Roman" w:hAnsi="Times New Roman"/>
          <w:sz w:val="18"/>
          <w:szCs w:val="18"/>
          <w:color w:val="auto"/>
        </w:rPr>
        <w:t>), March 21, 2024 (</w:t>
      </w:r>
      <w:hyperlink r:id="rId18">
        <w:r>
          <w:rPr>
            <w:rFonts w:ascii="Times New Roman" w:cs="Times New Roman" w:eastAsia="Times New Roman" w:hAnsi="Times New Roman"/>
            <w:sz w:val="18"/>
            <w:szCs w:val="18"/>
            <w:u w:val="single" w:color="auto"/>
            <w:color w:val="0000EE"/>
          </w:rPr>
          <w:t>File No. 333-278154</w:t>
        </w:r>
      </w:hyperlink>
      <w:r>
        <w:rPr>
          <w:rFonts w:ascii="Times New Roman" w:cs="Times New Roman" w:eastAsia="Times New Roman" w:hAnsi="Times New Roman"/>
          <w:sz w:val="18"/>
          <w:szCs w:val="18"/>
          <w:color w:val="auto"/>
        </w:rPr>
        <w:t>) and March 4, 2025 (</w:t>
      </w:r>
      <w:hyperlink r:id="rId19">
        <w:r>
          <w:rPr>
            <w:rFonts w:ascii="Times New Roman" w:cs="Times New Roman" w:eastAsia="Times New Roman" w:hAnsi="Times New Roman"/>
            <w:sz w:val="18"/>
            <w:szCs w:val="18"/>
            <w:u w:val="single" w:color="auto"/>
            <w:color w:val="0000EE"/>
          </w:rPr>
          <w:t>File No. 333-285526</w:t>
        </w:r>
      </w:hyperlink>
      <w:r>
        <w:rPr>
          <w:rFonts w:ascii="Times New Roman" w:cs="Times New Roman" w:eastAsia="Times New Roman" w:hAnsi="Times New Roman"/>
          <w:sz w:val="18"/>
          <w:szCs w:val="18"/>
          <w:color w:val="auto"/>
        </w:rPr>
        <w:t>) are incorporated by reference into this Registration Statement.</w:t>
      </w:r>
    </w:p>
    <w:p>
      <w:pPr>
        <w:sectPr>
          <w:pgSz w:w="11900" w:h="16838" w:orient="portrait"/>
          <w:cols w:equalWidth="0" w:num="1">
            <w:col w:w="10820"/>
          </w:cols>
          <w:pgMar w:left="500" w:top="264" w:right="57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II</w:t>
      </w:r>
    </w:p>
    <w:p>
      <w:pPr>
        <w:spacing w:after="0" w:line="24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Commission are incorporated by reference into this Registration Statement:</w:t>
      </w:r>
    </w:p>
    <w:p>
      <w:pPr>
        <w:spacing w:after="0" w:line="220" w:lineRule="exact"/>
        <w:rPr>
          <w:sz w:val="20"/>
          <w:szCs w:val="20"/>
          <w:color w:val="auto"/>
        </w:rPr>
      </w:pPr>
    </w:p>
    <w:p>
      <w:pPr>
        <w:ind w:right="120" w:firstLine="430"/>
        <w:spacing w:after="0" w:line="277" w:lineRule="auto"/>
        <w:tabs>
          <w:tab w:leader="none" w:pos="6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2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 No. 001-40215), filed with the Commission on March 27, 2026;</w:t>
      </w:r>
    </w:p>
    <w:p>
      <w:pPr>
        <w:spacing w:after="0" w:line="163" w:lineRule="exact"/>
        <w:rPr>
          <w:rFonts w:ascii="Times New Roman" w:cs="Times New Roman" w:eastAsia="Times New Roman" w:hAnsi="Times New Roman"/>
          <w:sz w:val="18"/>
          <w:szCs w:val="18"/>
          <w:color w:val="auto"/>
        </w:rPr>
      </w:pPr>
    </w:p>
    <w:p>
      <w:pPr>
        <w:ind w:left="680" w:hanging="250"/>
        <w:spacing w:after="0"/>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 on Form 8-K (File No. 001-40215) filed with the Commission on </w:t>
      </w:r>
      <w:hyperlink r:id="rId22">
        <w:r>
          <w:rPr>
            <w:rFonts w:ascii="Times New Roman" w:cs="Times New Roman" w:eastAsia="Times New Roman" w:hAnsi="Times New Roman"/>
            <w:sz w:val="18"/>
            <w:szCs w:val="18"/>
            <w:u w:val="single" w:color="auto"/>
            <w:color w:val="0000EE"/>
          </w:rPr>
          <w:t>January 6, 2026</w:t>
        </w:r>
      </w:hyperlink>
      <w:r>
        <w:rPr>
          <w:rFonts w:ascii="Times New Roman" w:cs="Times New Roman" w:eastAsia="Times New Roman" w:hAnsi="Times New Roman"/>
          <w:sz w:val="18"/>
          <w:szCs w:val="18"/>
          <w:color w:val="auto"/>
        </w:rPr>
        <w:t>; and</w:t>
      </w:r>
    </w:p>
    <w:p>
      <w:pPr>
        <w:spacing w:after="0" w:line="220" w:lineRule="exact"/>
        <w:rPr>
          <w:rFonts w:ascii="Times New Roman" w:cs="Times New Roman" w:eastAsia="Times New Roman" w:hAnsi="Times New Roman"/>
          <w:sz w:val="18"/>
          <w:szCs w:val="18"/>
          <w:color w:val="auto"/>
        </w:rPr>
      </w:pPr>
    </w:p>
    <w:p>
      <w:pPr>
        <w:ind w:right="60" w:firstLine="430"/>
        <w:spacing w:after="0" w:line="262" w:lineRule="auto"/>
        <w:tabs>
          <w:tab w:leader="none" w:pos="6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which is contained in </w:t>
      </w:r>
      <w:hyperlink r:id="rId23">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fiscal year ended December 31, 2022, filed with the Commission on March 31, 2023 (File No. 001-40215), including any amendment or report filed for the purpose of updating such description.</w:t>
      </w:r>
    </w:p>
    <w:p>
      <w:pPr>
        <w:spacing w:after="0" w:line="177" w:lineRule="exact"/>
        <w:rPr>
          <w:rFonts w:ascii="Times New Roman" w:cs="Times New Roman" w:eastAsia="Times New Roman" w:hAnsi="Times New Roman"/>
          <w:sz w:val="18"/>
          <w:szCs w:val="18"/>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All documents, reports and definitive proxy or information statements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that indicates that all securities offered hereby have been sold or that deregisters all securities then remaining unsold shall be deemed to be incorporated by reference in this Registration Statement and to be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32" w:lineRule="exact"/>
        <w:rPr>
          <w:rFonts w:ascii="Times New Roman" w:cs="Times New Roman" w:eastAsia="Times New Roman" w:hAnsi="Times New Roman"/>
          <w:sz w:val="18"/>
          <w:szCs w:val="18"/>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INTERESTS OF NAMED EXPERTS AND COUNSEL</w:t>
      </w:r>
    </w:p>
    <w:p>
      <w:pPr>
        <w:spacing w:after="0" w:line="118" w:lineRule="exact"/>
        <w:rPr>
          <w:rFonts w:ascii="Times New Roman" w:cs="Times New Roman" w:eastAsia="Times New Roman" w:hAnsi="Times New Roman"/>
          <w:sz w:val="18"/>
          <w:szCs w:val="18"/>
          <w:color w:val="auto"/>
        </w:rPr>
      </w:pPr>
    </w:p>
    <w:p>
      <w:pPr>
        <w:ind w:right="280" w:firstLine="436"/>
        <w:spacing w:after="0" w:line="277" w:lineRule="auto"/>
        <w:rPr>
          <w:sz w:val="20"/>
          <w:szCs w:val="20"/>
          <w:color w:val="auto"/>
        </w:rPr>
      </w:pPr>
      <w:r>
        <w:rPr>
          <w:rFonts w:ascii="Times New Roman" w:cs="Times New Roman" w:eastAsia="Times New Roman" w:hAnsi="Times New Roman"/>
          <w:sz w:val="18"/>
          <w:szCs w:val="18"/>
          <w:color w:val="auto"/>
        </w:rPr>
        <w:t>As of the date hereof, GC&amp;H Investments, LLC, an entity consisting of current and former partners and associates of Cooley LLP, beneficially holds an aggregate of 6,370 shares of the Registrant’s common stock.</w:t>
      </w:r>
    </w:p>
    <w:p>
      <w:pPr>
        <w:spacing w:after="0" w:line="306"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4800" w:type="dxa"/>
            <w:vAlign w:val="bottom"/>
            <w:gridSpan w:val="12"/>
          </w:tcPr>
          <w:p>
            <w:pPr>
              <w:ind w:left="2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2"/>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00" w:type="dxa"/>
            <w:vAlign w:val="bottom"/>
            <w:gridSpan w:val="8"/>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 Form</w:t>
            </w: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6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0" w:type="dxa"/>
            <w:vAlign w:val="bottom"/>
            <w:vMerge w:val="restart"/>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100" w:type="dxa"/>
            <w:vAlign w:val="bottom"/>
            <w:gridSpan w:val="8"/>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7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5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24">
              <w:r>
                <w:rPr>
                  <w:rFonts w:ascii="Times New Roman" w:cs="Times New Roman" w:eastAsia="Times New Roman" w:hAnsi="Times New Roman"/>
                  <w:sz w:val="18"/>
                  <w:szCs w:val="18"/>
                  <w:color w:val="0000EE"/>
                  <w:w w:val="98"/>
                </w:rPr>
                <w:t>Amended and Restated Certificate of Incorporation, as amended</w:t>
              </w:r>
            </w:hyperlink>
          </w:p>
        </w:tc>
        <w:tc>
          <w:tcPr>
            <w:tcW w:w="220" w:type="dxa"/>
            <w:vAlign w:val="bottom"/>
            <w:gridSpan w:val="2"/>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001-40215</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800" w:type="dxa"/>
            <w:vAlign w:val="bottom"/>
            <w:gridSpan w:val="12"/>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Amended and Restated Bylaws</w:t>
              </w:r>
            </w:hyperlink>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001-40215</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800" w:type="dxa"/>
            <w:vAlign w:val="bottom"/>
            <w:gridSpan w:val="12"/>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2021 Equity Incentive Plan and Forms of Option Grant Notice</w:t>
              </w:r>
            </w:hyperlink>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4440" w:type="dxa"/>
            <w:vAlign w:val="bottom"/>
            <w:tcBorders>
              <w:top w:val="single" w:sz="8" w:color="0000EE"/>
            </w:tcBorders>
            <w:gridSpan w:val="8"/>
          </w:tcPr>
          <w:p>
            <w:pPr>
              <w:spacing w:after="0" w:line="194"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and Agreement, Exercise Notice, Early Exercise Notice and</w:t>
              </w:r>
            </w:hyperlink>
          </w:p>
        </w:tc>
        <w:tc>
          <w:tcPr>
            <w:tcW w:w="360" w:type="dxa"/>
            <w:vAlign w:val="bottom"/>
            <w:gridSpan w:val="4"/>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2220" w:type="dxa"/>
            <w:vAlign w:val="bottom"/>
            <w:tcBorders>
              <w:top w:val="single" w:sz="8" w:color="0000EE"/>
              <w:bottom w:val="single" w:sz="8" w:color="0000EE"/>
            </w:tcBorders>
            <w:gridSpan w:val="5"/>
          </w:tcPr>
          <w:p>
            <w:pPr>
              <w:spacing w:after="0" w:line="194" w:lineRule="exact"/>
              <w:rPr>
                <w:rFonts w:ascii="Times New Roman" w:cs="Times New Roman" w:eastAsia="Times New Roman" w:hAnsi="Times New Roman"/>
                <w:sz w:val="18"/>
                <w:szCs w:val="18"/>
                <w:color w:val="0000EE"/>
                <w:w w:val="97"/>
              </w:rPr>
            </w:pPr>
            <w:hyperlink r:id="rId26">
              <w:r>
                <w:rPr>
                  <w:rFonts w:ascii="Times New Roman" w:cs="Times New Roman" w:eastAsia="Times New Roman" w:hAnsi="Times New Roman"/>
                  <w:sz w:val="18"/>
                  <w:szCs w:val="18"/>
                  <w:color w:val="0000EE"/>
                  <w:w w:val="97"/>
                </w:rPr>
                <w:t>Restricted Stock Award Notice</w:t>
              </w:r>
            </w:hyperlink>
          </w:p>
        </w:tc>
        <w:tc>
          <w:tcPr>
            <w:tcW w:w="2040" w:type="dxa"/>
            <w:vAlign w:val="bottom"/>
            <w:tcBorders>
              <w:top w:val="single" w:sz="8" w:color="0000EE"/>
            </w:tcBorders>
            <w:gridSpan w:val="2"/>
          </w:tcPr>
          <w:p>
            <w:pPr>
              <w:spacing w:after="0"/>
              <w:rPr>
                <w:sz w:val="16"/>
                <w:szCs w:val="16"/>
                <w:color w:val="auto"/>
              </w:rPr>
            </w:pPr>
          </w:p>
        </w:tc>
        <w:tc>
          <w:tcPr>
            <w:tcW w:w="540" w:type="dxa"/>
            <w:vAlign w:val="bottom"/>
            <w:gridSpan w:val="5"/>
          </w:tcPr>
          <w:p>
            <w:pPr>
              <w:spacing w:after="0"/>
              <w:rPr>
                <w:sz w:val="16"/>
                <w:szCs w:val="16"/>
                <w:color w:val="auto"/>
              </w:rPr>
            </w:pPr>
          </w:p>
        </w:tc>
        <w:tc>
          <w:tcPr>
            <w:tcW w:w="11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10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333-253620</w:t>
            </w:r>
          </w:p>
        </w:tc>
        <w:tc>
          <w:tcPr>
            <w:tcW w:w="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5"/>
              </w:rPr>
              <w:t>10.2</w:t>
            </w:r>
          </w:p>
        </w:tc>
        <w:tc>
          <w:tcPr>
            <w:tcW w:w="12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March 15, 2021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7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Opinion of Cooley LLP</w:t>
            </w:r>
          </w:p>
        </w:tc>
        <w:tc>
          <w:tcPr>
            <w:tcW w:w="3100" w:type="dxa"/>
            <w:vAlign w:val="bottom"/>
            <w:gridSpan w:val="8"/>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6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7"/>
              </w:rPr>
              <w:t>Consent of Deloitte &amp; Touche LLP, independent registered public</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480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EE"/>
              </w:rPr>
              <w:t>accounting firm</w:t>
            </w: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tcPr>
          <w:p>
            <w:pPr>
              <w:jc w:val="center"/>
              <w:ind w:left="14"/>
              <w:spacing w:after="0" w:line="19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8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Consent of Cooley LLP (included in Exhibit 5.1)</w:t>
            </w: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4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Power of Attorney (included in signature pages of Registration</w:t>
            </w:r>
          </w:p>
        </w:tc>
        <w:tc>
          <w:tcPr>
            <w:tcW w:w="320" w:type="dxa"/>
            <w:vAlign w:val="bottom"/>
            <w:gridSpan w:val="3"/>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480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EE"/>
              </w:rPr>
              <w:t>Statement)</w:t>
            </w: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tcPr>
          <w:p>
            <w:pPr>
              <w:jc w:val="center"/>
              <w:ind w:left="14"/>
              <w:spacing w:after="0" w:line="19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40" w:type="dxa"/>
            <w:vAlign w:val="bottom"/>
            <w:gridSpan w:val="9"/>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1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5"/>
              </w:rPr>
              <w:t>Filing Fee Table</w:t>
            </w:r>
          </w:p>
        </w:tc>
        <w:tc>
          <w:tcPr>
            <w:tcW w:w="3640" w:type="dxa"/>
            <w:vAlign w:val="bottom"/>
            <w:gridSpan w:val="9"/>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ectPr>
          <w:pgSz w:w="11900" w:h="16838" w:orient="portrait"/>
          <w:cols w:equalWidth="0" w:num="1">
            <w:col w:w="10880"/>
          </w:cols>
          <w:pgMar w:left="500" w:top="264" w:right="51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right="280" w:firstLine="43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this 27th day of March, 2026.</w:t>
      </w:r>
    </w:p>
    <w:p>
      <w:pPr>
        <w:spacing w:after="0" w:line="20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Instil Bio, Inc.</w:t>
      </w:r>
    </w:p>
    <w:p>
      <w:pPr>
        <w:spacing w:after="0" w:line="22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 Bronson Crouch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15875</wp:posOffset>
            </wp:positionV>
            <wp:extent cx="25361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Name: Bronson Crouch</w:t>
      </w:r>
    </w:p>
    <w:p>
      <w:pPr>
        <w:spacing w:after="0" w:line="2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firstLine="436"/>
        <w:spacing w:after="0" w:line="267" w:lineRule="auto"/>
        <w:rPr>
          <w:sz w:val="20"/>
          <w:szCs w:val="20"/>
          <w:color w:val="auto"/>
        </w:rPr>
      </w:pPr>
      <w:r>
        <w:rPr>
          <w:rFonts w:ascii="Times New Roman" w:cs="Times New Roman" w:eastAsia="Times New Roman" w:hAnsi="Times New Roman"/>
          <w:sz w:val="17"/>
          <w:szCs w:val="17"/>
          <w:color w:val="auto"/>
        </w:rPr>
        <w:t>KNOW ALL BY THESE PRESENTS, that each person whose signature appears below hereby constitutes and appoints Bronson Crouch and Sandeep Laumas, M.D., and each of them, as his true and lawful agents, proxies and attorneys-in-fact, with full power of substitution and resubstitution, for him or her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76" w:lineRule="exact"/>
        <w:rPr>
          <w:sz w:val="20"/>
          <w:szCs w:val="20"/>
          <w:color w:val="auto"/>
        </w:rPr>
      </w:pPr>
    </w:p>
    <w:p>
      <w:pPr>
        <w:ind w:right="18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2380" w:type="dxa"/>
            <w:vAlign w:val="bottom"/>
          </w:tcPr>
          <w:p>
            <w:pPr>
              <w:spacing w:after="0"/>
              <w:rPr>
                <w:sz w:val="14"/>
                <w:szCs w:val="14"/>
                <w:color w:val="auto"/>
              </w:rPr>
            </w:pPr>
          </w:p>
        </w:tc>
        <w:tc>
          <w:tcPr>
            <w:tcW w:w="168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4"/>
        </w:trPr>
        <w:tc>
          <w:tcPr>
            <w:tcW w:w="2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/s/ Bronson Crouch</w:t>
            </w:r>
          </w:p>
        </w:tc>
        <w:tc>
          <w:tcPr>
            <w:tcW w:w="5520" w:type="dxa"/>
            <w:vAlign w:val="bottom"/>
            <w:gridSpan w:val="3"/>
          </w:tcPr>
          <w:p>
            <w:pPr>
              <w:jc w:val="center"/>
              <w:ind w:left="151"/>
              <w:spacing w:after="0"/>
              <w:rPr>
                <w:sz w:val="20"/>
                <w:szCs w:val="20"/>
                <w:color w:val="auto"/>
              </w:rPr>
            </w:pPr>
            <w:r>
              <w:rPr>
                <w:rFonts w:ascii="Times New Roman" w:cs="Times New Roman" w:eastAsia="Times New Roman" w:hAnsi="Times New Roman"/>
                <w:sz w:val="18"/>
                <w:szCs w:val="18"/>
                <w:color w:val="auto"/>
                <w:w w:val="98"/>
              </w:rPr>
              <w:t xml:space="preserve">Chief Executive Officer and Director </w:t>
            </w:r>
            <w:r>
              <w:rPr>
                <w:rFonts w:ascii="Times New Roman" w:cs="Times New Roman" w:eastAsia="Times New Roman" w:hAnsi="Times New Roman"/>
                <w:sz w:val="18"/>
                <w:szCs w:val="18"/>
                <w:i w:val="1"/>
                <w:iCs w:val="1"/>
                <w:color w:val="auto"/>
                <w:w w:val="98"/>
              </w:rPr>
              <w:t>(Principal Executive</w:t>
            </w:r>
          </w:p>
        </w:tc>
        <w:tc>
          <w:tcPr>
            <w:tcW w:w="1680" w:type="dxa"/>
            <w:vAlign w:val="bottom"/>
            <w:gridSpan w:val="3"/>
          </w:tcPr>
          <w:p>
            <w:pPr>
              <w:jc w:val="center"/>
              <w:ind w:left="474"/>
              <w:spacing w:after="0"/>
              <w:rPr>
                <w:sz w:val="20"/>
                <w:szCs w:val="20"/>
                <w:color w:val="auto"/>
              </w:rPr>
            </w:pPr>
            <w:r>
              <w:rPr>
                <w:rFonts w:ascii="Times New Roman" w:cs="Times New Roman" w:eastAsia="Times New Roman" w:hAnsi="Times New Roman"/>
                <w:sz w:val="18"/>
                <w:szCs w:val="18"/>
                <w:color w:val="auto"/>
                <w:w w:val="97"/>
              </w:rPr>
              <w:t>March 27, 2026</w:t>
            </w:r>
          </w:p>
        </w:tc>
      </w:tr>
      <w:tr>
        <w:trPr>
          <w:trHeight w:val="226"/>
        </w:trPr>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Bronson Crouch</w:t>
            </w:r>
          </w:p>
        </w:tc>
        <w:tc>
          <w:tcPr>
            <w:tcW w:w="5520" w:type="dxa"/>
            <w:vAlign w:val="bottom"/>
            <w:gridSpan w:val="3"/>
          </w:tcPr>
          <w:p>
            <w:pPr>
              <w:jc w:val="center"/>
              <w:ind w:left="151"/>
              <w:spacing w:after="0"/>
              <w:rPr>
                <w:sz w:val="20"/>
                <w:szCs w:val="20"/>
                <w:color w:val="auto"/>
              </w:rPr>
            </w:pPr>
            <w:r>
              <w:rPr>
                <w:rFonts w:ascii="Times New Roman" w:cs="Times New Roman" w:eastAsia="Times New Roman" w:hAnsi="Times New Roman"/>
                <w:sz w:val="18"/>
                <w:szCs w:val="18"/>
                <w:i w:val="1"/>
                <w:iCs w:val="1"/>
                <w:color w:val="auto"/>
                <w:w w:val="98"/>
              </w:rPr>
              <w:t>Officer)</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15"/>
        </w:trPr>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Sandeep Laumas, M.D.</w:t>
            </w:r>
          </w:p>
        </w:tc>
        <w:tc>
          <w:tcPr>
            <w:tcW w:w="5520" w:type="dxa"/>
            <w:vAlign w:val="bottom"/>
            <w:gridSpan w:val="3"/>
          </w:tcPr>
          <w:p>
            <w:pPr>
              <w:jc w:val="center"/>
              <w:ind w:left="151"/>
              <w:spacing w:after="0"/>
              <w:rPr>
                <w:sz w:val="20"/>
                <w:szCs w:val="20"/>
                <w:color w:val="auto"/>
              </w:rPr>
            </w:pPr>
            <w:r>
              <w:rPr>
                <w:rFonts w:ascii="Times New Roman" w:cs="Times New Roman" w:eastAsia="Times New Roman" w:hAnsi="Times New Roman"/>
                <w:sz w:val="18"/>
                <w:szCs w:val="18"/>
                <w:color w:val="auto"/>
                <w:w w:val="98"/>
              </w:rPr>
              <w:t>Chief Financial Officer and Chief Business Officer</w:t>
            </w:r>
          </w:p>
        </w:tc>
        <w:tc>
          <w:tcPr>
            <w:tcW w:w="1680" w:type="dxa"/>
            <w:vAlign w:val="bottom"/>
            <w:gridSpan w:val="3"/>
          </w:tcPr>
          <w:p>
            <w:pPr>
              <w:jc w:val="center"/>
              <w:ind w:left="474"/>
              <w:spacing w:after="0"/>
              <w:rPr>
                <w:sz w:val="20"/>
                <w:szCs w:val="20"/>
                <w:color w:val="auto"/>
              </w:rPr>
            </w:pPr>
            <w:r>
              <w:rPr>
                <w:rFonts w:ascii="Times New Roman" w:cs="Times New Roman" w:eastAsia="Times New Roman" w:hAnsi="Times New Roman"/>
                <w:sz w:val="18"/>
                <w:szCs w:val="18"/>
                <w:color w:val="auto"/>
                <w:w w:val="97"/>
              </w:rPr>
              <w:t>March 27, 2026</w:t>
            </w:r>
          </w:p>
        </w:tc>
      </w:tr>
      <w:tr>
        <w:trPr>
          <w:trHeight w:val="173"/>
        </w:trPr>
        <w:tc>
          <w:tcPr>
            <w:tcW w:w="2840" w:type="dxa"/>
            <w:vAlign w:val="bottom"/>
            <w:gridSpan w:val="3"/>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Sandeep Laumas, M.D.</w:t>
            </w:r>
          </w:p>
        </w:tc>
        <w:tc>
          <w:tcPr>
            <w:tcW w:w="5520" w:type="dxa"/>
            <w:vAlign w:val="bottom"/>
            <w:gridSpan w:val="3"/>
          </w:tcPr>
          <w:p>
            <w:pPr>
              <w:jc w:val="center"/>
              <w:ind w:left="171"/>
              <w:spacing w:after="0" w:line="174" w:lineRule="exact"/>
              <w:rPr>
                <w:sz w:val="20"/>
                <w:szCs w:val="20"/>
                <w:color w:val="auto"/>
              </w:rPr>
            </w:pPr>
            <w:r>
              <w:rPr>
                <w:rFonts w:ascii="Times New Roman" w:cs="Times New Roman" w:eastAsia="Times New Roman" w:hAnsi="Times New Roman"/>
                <w:sz w:val="18"/>
                <w:szCs w:val="18"/>
                <w:i w:val="1"/>
                <w:iCs w:val="1"/>
                <w:color w:val="auto"/>
                <w:w w:val="98"/>
              </w:rPr>
              <w:t>(Principal Financial and</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35"/>
        </w:trPr>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520" w:type="dxa"/>
            <w:vAlign w:val="bottom"/>
            <w:gridSpan w:val="3"/>
          </w:tcPr>
          <w:p>
            <w:pPr>
              <w:jc w:val="center"/>
              <w:ind w:left="171"/>
              <w:spacing w:after="0"/>
              <w:rPr>
                <w:sz w:val="20"/>
                <w:szCs w:val="20"/>
                <w:color w:val="auto"/>
              </w:rPr>
            </w:pPr>
            <w:r>
              <w:rPr>
                <w:rFonts w:ascii="Times New Roman" w:cs="Times New Roman" w:eastAsia="Times New Roman" w:hAnsi="Times New Roman"/>
                <w:sz w:val="18"/>
                <w:szCs w:val="18"/>
                <w:i w:val="1"/>
                <w:iCs w:val="1"/>
                <w:color w:val="auto"/>
                <w:w w:val="98"/>
              </w:rPr>
              <w:t>Accounting Officer)</w:t>
            </w: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33"/>
        </w:trPr>
        <w:tc>
          <w:tcPr>
            <w:tcW w:w="2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/s/ Gwendolyn Binder, Ph.D.</w:t>
            </w:r>
          </w:p>
        </w:tc>
        <w:tc>
          <w:tcPr>
            <w:tcW w:w="5520" w:type="dxa"/>
            <w:vAlign w:val="bottom"/>
            <w:gridSpan w:val="3"/>
          </w:tcPr>
          <w:p>
            <w:pPr>
              <w:jc w:val="center"/>
              <w:ind w:left="151"/>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gridSpan w:val="3"/>
          </w:tcPr>
          <w:p>
            <w:pPr>
              <w:jc w:val="center"/>
              <w:ind w:left="474"/>
              <w:spacing w:after="0"/>
              <w:rPr>
                <w:sz w:val="20"/>
                <w:szCs w:val="20"/>
                <w:color w:val="auto"/>
              </w:rPr>
            </w:pPr>
            <w:r>
              <w:rPr>
                <w:rFonts w:ascii="Times New Roman" w:cs="Times New Roman" w:eastAsia="Times New Roman" w:hAnsi="Times New Roman"/>
                <w:sz w:val="18"/>
                <w:szCs w:val="18"/>
                <w:color w:val="auto"/>
                <w:w w:val="97"/>
              </w:rPr>
              <w:t>March 27, 2026</w:t>
            </w:r>
          </w:p>
        </w:tc>
      </w:tr>
      <w:tr>
        <w:trPr>
          <w:trHeight w:val="226"/>
        </w:trPr>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Gwendolyn Binder, Ph.D.</w:t>
            </w:r>
          </w:p>
        </w:tc>
        <w:tc>
          <w:tcPr>
            <w:tcW w:w="2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15"/>
        </w:trPr>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Neil Gibson, Ph.D.</w:t>
            </w:r>
          </w:p>
        </w:tc>
        <w:tc>
          <w:tcPr>
            <w:tcW w:w="5520" w:type="dxa"/>
            <w:vAlign w:val="bottom"/>
            <w:gridSpan w:val="3"/>
          </w:tcPr>
          <w:p>
            <w:pPr>
              <w:jc w:val="center"/>
              <w:ind w:left="151"/>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gridSpan w:val="3"/>
          </w:tcPr>
          <w:p>
            <w:pPr>
              <w:jc w:val="center"/>
              <w:ind w:left="474"/>
              <w:spacing w:after="0"/>
              <w:rPr>
                <w:sz w:val="20"/>
                <w:szCs w:val="20"/>
                <w:color w:val="auto"/>
              </w:rPr>
            </w:pPr>
            <w:r>
              <w:rPr>
                <w:rFonts w:ascii="Times New Roman" w:cs="Times New Roman" w:eastAsia="Times New Roman" w:hAnsi="Times New Roman"/>
                <w:sz w:val="18"/>
                <w:szCs w:val="18"/>
                <w:color w:val="auto"/>
                <w:w w:val="97"/>
              </w:rPr>
              <w:t>March 27, 2026</w:t>
            </w:r>
          </w:p>
        </w:tc>
      </w:tr>
      <w:tr>
        <w:trPr>
          <w:trHeight w:val="226"/>
        </w:trPr>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Neil Gibson, Ph.D.</w:t>
            </w:r>
          </w:p>
        </w:tc>
        <w:tc>
          <w:tcPr>
            <w:tcW w:w="2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15"/>
        </w:trPr>
        <w:tc>
          <w:tcPr>
            <w:tcW w:w="2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/s/ George Matcham, Ph.D.</w:t>
            </w:r>
          </w:p>
        </w:tc>
        <w:tc>
          <w:tcPr>
            <w:tcW w:w="5520" w:type="dxa"/>
            <w:vAlign w:val="bottom"/>
            <w:gridSpan w:val="3"/>
          </w:tcPr>
          <w:p>
            <w:pPr>
              <w:jc w:val="center"/>
              <w:ind w:left="151"/>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gridSpan w:val="3"/>
          </w:tcPr>
          <w:p>
            <w:pPr>
              <w:jc w:val="center"/>
              <w:ind w:left="474"/>
              <w:spacing w:after="0"/>
              <w:rPr>
                <w:sz w:val="20"/>
                <w:szCs w:val="20"/>
                <w:color w:val="auto"/>
              </w:rPr>
            </w:pPr>
            <w:r>
              <w:rPr>
                <w:rFonts w:ascii="Times New Roman" w:cs="Times New Roman" w:eastAsia="Times New Roman" w:hAnsi="Times New Roman"/>
                <w:sz w:val="18"/>
                <w:szCs w:val="18"/>
                <w:color w:val="auto"/>
                <w:w w:val="97"/>
              </w:rPr>
              <w:t>March 27, 2026</w:t>
            </w:r>
          </w:p>
        </w:tc>
      </w:tr>
      <w:tr>
        <w:trPr>
          <w:trHeight w:val="226"/>
        </w:trPr>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George Matcham, Ph.D.</w:t>
            </w:r>
          </w:p>
        </w:tc>
        <w:tc>
          <w:tcPr>
            <w:tcW w:w="2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15"/>
        </w:trPr>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R. Kent McGaughy, Jr.</w:t>
            </w:r>
          </w:p>
        </w:tc>
        <w:tc>
          <w:tcPr>
            <w:tcW w:w="5520" w:type="dxa"/>
            <w:vAlign w:val="bottom"/>
            <w:gridSpan w:val="3"/>
          </w:tcPr>
          <w:p>
            <w:pPr>
              <w:jc w:val="center"/>
              <w:ind w:left="151"/>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gridSpan w:val="3"/>
          </w:tcPr>
          <w:p>
            <w:pPr>
              <w:jc w:val="center"/>
              <w:ind w:left="474"/>
              <w:spacing w:after="0"/>
              <w:rPr>
                <w:sz w:val="20"/>
                <w:szCs w:val="20"/>
                <w:color w:val="auto"/>
              </w:rPr>
            </w:pPr>
            <w:r>
              <w:rPr>
                <w:rFonts w:ascii="Times New Roman" w:cs="Times New Roman" w:eastAsia="Times New Roman" w:hAnsi="Times New Roman"/>
                <w:sz w:val="18"/>
                <w:szCs w:val="18"/>
                <w:color w:val="auto"/>
                <w:w w:val="97"/>
              </w:rPr>
              <w:t>March 27, 2026</w:t>
            </w:r>
          </w:p>
        </w:tc>
      </w:tr>
      <w:tr>
        <w:trPr>
          <w:trHeight w:val="226"/>
        </w:trPr>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R. Kent McGaughy, Jr.</w:t>
            </w:r>
          </w:p>
        </w:tc>
        <w:tc>
          <w:tcPr>
            <w:tcW w:w="2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ectPr>
          <w:pgSz w:w="11900" w:h="16838" w:orient="portrait"/>
          <w:cols w:equalWidth="0" w:num="1">
            <w:col w:w="10840"/>
          </w:cols>
          <w:pgMar w:left="500" w:top="264" w:right="5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171450</wp:posOffset>
            </wp:positionV>
            <wp:extent cx="1153795" cy="373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3795" cy="37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Courtney M.W. Tygesson</w:t>
      </w:r>
    </w:p>
    <w:p>
      <w:pPr>
        <w:spacing w:after="0" w:line="26" w:lineRule="exact"/>
        <w:rPr>
          <w:sz w:val="20"/>
          <w:szCs w:val="20"/>
          <w:color w:val="auto"/>
        </w:rPr>
      </w:pPr>
    </w:p>
    <w:p>
      <w:pPr>
        <w:ind w:left="6" w:right="9220" w:hanging="6"/>
        <w:spacing w:after="0" w:line="284" w:lineRule="auto"/>
        <w:tabs>
          <w:tab w:leader="none" w:pos="2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+1 312 881 6680 ctygesson@cooley.com</w:t>
      </w:r>
    </w:p>
    <w:p>
      <w:pPr>
        <w:spacing w:after="0" w:line="16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March 27, 2026</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Instil Bio, Inc.</w:t>
      </w:r>
    </w:p>
    <w:p>
      <w:pPr>
        <w:spacing w:after="0" w:line="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3963 Maple Avenue, Suite 350</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Dallas, Texas 75219</w:t>
      </w:r>
    </w:p>
    <w:p>
      <w:pPr>
        <w:spacing w:after="0" w:line="224" w:lineRule="exact"/>
        <w:rPr>
          <w:sz w:val="20"/>
          <w:szCs w:val="20"/>
          <w:color w:val="auto"/>
        </w:rPr>
      </w:pPr>
    </w:p>
    <w:p>
      <w:pPr>
        <w:ind w:left="6"/>
        <w:spacing w:after="0"/>
        <w:tabs>
          <w:tab w:leader="none" w:pos="406"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Instil Bio, Inc. – Registration on Form S-8</w:t>
      </w:r>
    </w:p>
    <w:p>
      <w:pPr>
        <w:spacing w:after="0" w:line="22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0" w:lineRule="exact"/>
        <w:rPr>
          <w:sz w:val="20"/>
          <w:szCs w:val="20"/>
          <w:color w:val="auto"/>
        </w:rPr>
      </w:pPr>
    </w:p>
    <w:p>
      <w:pPr>
        <w:ind w:left="6" w:right="60"/>
        <w:spacing w:after="0" w:line="259" w:lineRule="auto"/>
        <w:rPr>
          <w:sz w:val="20"/>
          <w:szCs w:val="20"/>
          <w:color w:val="auto"/>
        </w:rPr>
      </w:pPr>
      <w:r>
        <w:rPr>
          <w:rFonts w:ascii="Times New Roman" w:cs="Times New Roman" w:eastAsia="Times New Roman" w:hAnsi="Times New Roman"/>
          <w:sz w:val="18"/>
          <w:szCs w:val="18"/>
          <w:color w:val="auto"/>
        </w:rPr>
        <w:t>We have acted as counsel to Instil Bio,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filing by the Company of a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covering the offering of up to 339,098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that may be issued pursuant to the Company’s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 w:right="40"/>
        <w:spacing w:after="0" w:line="252"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(a) the Registration Statement and the related prospectus, (b) the Company’s certificate of incorporation and bylaws, each as currently in effect, (c) the Plan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89" w:lineRule="exact"/>
        <w:rPr>
          <w:sz w:val="20"/>
          <w:szCs w:val="20"/>
          <w:color w:val="auto"/>
        </w:rPr>
      </w:pPr>
    </w:p>
    <w:p>
      <w:pPr>
        <w:ind w:left="6" w:right="100"/>
        <w:spacing w:after="0" w:line="262"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7" w:lineRule="exact"/>
        <w:rPr>
          <w:sz w:val="20"/>
          <w:szCs w:val="20"/>
          <w:color w:val="auto"/>
        </w:rPr>
      </w:pPr>
    </w:p>
    <w:p>
      <w:pPr>
        <w:ind w:left="6" w:right="180"/>
        <w:spacing w:after="0" w:line="262"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sold and issued in accordance with the Plan, the Registration Statement and the related prospectus, will be validly issued, fully paid, and nonassessable (except as to Shares issued pursuant to deferred payment arrangements, which will be fully paid and nonassessable when such deferred payments are made in full).</w:t>
      </w:r>
    </w:p>
    <w:p>
      <w:pPr>
        <w:spacing w:after="0" w:line="177" w:lineRule="exact"/>
        <w:rPr>
          <w:sz w:val="20"/>
          <w:szCs w:val="20"/>
          <w:color w:val="auto"/>
        </w:rPr>
      </w:pPr>
    </w:p>
    <w:p>
      <w:pPr>
        <w:ind w:left="6" w:right="180"/>
        <w:spacing w:after="0" w:line="257"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82" w:lineRule="exact"/>
        <w:rPr>
          <w:sz w:val="20"/>
          <w:szCs w:val="20"/>
          <w:color w:val="auto"/>
        </w:rPr>
      </w:pPr>
    </w:p>
    <w:p>
      <w:pPr>
        <w:ind w:left="6" w:right="20"/>
        <w:spacing w:after="0" w:line="262"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17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Cooley LLP 110 N. Wacker Drive Suite 4200, Chicago, IL 60606-1511</w:t>
      </w:r>
    </w:p>
    <w:p>
      <w:pPr>
        <w:spacing w:after="0" w:line="2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t: 312.881.6500 f: 312.881.6598 cooley.com</w:t>
      </w:r>
    </w:p>
    <w:p>
      <w:pPr>
        <w:sectPr>
          <w:pgSz w:w="11900" w:h="16838" w:orient="portrait"/>
          <w:cols w:equalWidth="0" w:num="1">
            <w:col w:w="10906"/>
          </w:cols>
          <w:pgMar w:left="494" w:top="117"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318135</wp:posOffset>
            </wp:positionH>
            <wp:positionV relativeFrom="page">
              <wp:posOffset>182245</wp:posOffset>
            </wp:positionV>
            <wp:extent cx="1153795" cy="373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153795" cy="373380"/>
                    </a:xfrm>
                    <a:prstGeom prst="rect">
                      <a:avLst/>
                    </a:prstGeom>
                    <a:noFill/>
                  </pic:spPr>
                </pic:pic>
              </a:graphicData>
            </a:graphic>
          </wp:anchor>
        </w:drawing>
        <w:t>Instil Bio,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OOLEY</w:t>
      </w:r>
      <w:r>
        <w:rPr>
          <w:rFonts w:ascii="Times New Roman" w:cs="Times New Roman" w:eastAsia="Times New Roman" w:hAnsi="Times New Roman"/>
          <w:sz w:val="18"/>
          <w:szCs w:val="18"/>
          <w:color w:val="auto"/>
        </w:rPr>
        <w:t xml:space="preserv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Courtney M.W. Tygesson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15875</wp:posOffset>
            </wp:positionV>
            <wp:extent cx="25361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Courtney M.W. Tygesson</w:t>
      </w:r>
    </w:p>
    <w:p>
      <w:pPr>
        <w:spacing w:after="0" w:line="220"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Cooley LLP 110 N. Wacker Drive Suite 4200, Chicago, IL 60606-1511</w:t>
      </w:r>
    </w:p>
    <w:p>
      <w:pPr>
        <w:spacing w:after="0" w:line="37"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t: 312.881.6500 f: 312.881.6598 cooley.com</w:t>
      </w:r>
    </w:p>
    <w:p>
      <w:pPr>
        <w:sectPr>
          <w:pgSz w:w="11900" w:h="16838" w:orient="portrait"/>
          <w:cols w:equalWidth="0" w:num="1">
            <w:col w:w="9959"/>
          </w:cols>
          <w:pgMar w:left="500" w:top="1070"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March 27, 2026, relating to the financial statements of Instil Bio, Inc., appearing in the Annual Report on Form 10-K of Instil Bio, Inc. for the year ended December 31,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w:t>
      </w:r>
    </w:p>
    <w:p>
      <w:pPr>
        <w:sectPr>
          <w:pgSz w:w="11900" w:h="16838" w:orient="portrait"/>
          <w:cols w:equalWidth="0" w:num="1">
            <w:col w:w="10900"/>
          </w:cols>
          <w:pgMar w:left="500" w:top="117" w:right="499" w:bottom="1440" w:gutter="0" w:footer="0" w:header="0"/>
        </w:sectPr>
      </w:pPr>
    </w:p>
    <w:bookmarkStart w:id="7" w:name="page8"/>
    <w:bookmarkEnd w:id="7"/>
    <w:p>
      <w:pPr>
        <w:spacing w:after="0" w:line="62" w:lineRule="exact"/>
        <w:rPr>
          <w:sz w:val="20"/>
          <w:szCs w:val="20"/>
          <w:color w:val="auto"/>
        </w:rPr>
      </w:pPr>
    </w:p>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Instil Bio,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0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 par</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value</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$0.000001</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per share,</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reserved</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0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for</w:t>
            </w:r>
          </w:p>
        </w:tc>
        <w:tc>
          <w:tcPr>
            <w:tcW w:w="40" w:type="dxa"/>
            <w:vAlign w:val="bottom"/>
          </w:tcPr>
          <w:p>
            <w:pPr>
              <w:spacing w:after="0"/>
              <w:rPr>
                <w:sz w:val="20"/>
                <w:szCs w:val="2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457(a)</w:t>
            </w:r>
          </w:p>
        </w:tc>
        <w:tc>
          <w:tcPr>
            <w:tcW w:w="20" w:type="dxa"/>
            <w:vAlign w:val="bottom"/>
          </w:tcPr>
          <w:p>
            <w:pPr>
              <w:spacing w:after="0"/>
              <w:rPr>
                <w:sz w:val="20"/>
                <w:szCs w:val="2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339,098</w:t>
            </w:r>
          </w:p>
        </w:tc>
        <w:tc>
          <w:tcPr>
            <w:tcW w:w="20" w:type="dxa"/>
            <w:vAlign w:val="bottom"/>
          </w:tcPr>
          <w:p>
            <w:pPr>
              <w:spacing w:after="0"/>
              <w:rPr>
                <w:sz w:val="20"/>
                <w:szCs w:val="20"/>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$ 8.38</w:t>
            </w:r>
          </w:p>
        </w:tc>
        <w:tc>
          <w:tcPr>
            <w:tcW w:w="20" w:type="dxa"/>
            <w:vAlign w:val="bottom"/>
          </w:tcPr>
          <w:p>
            <w:pPr>
              <w:spacing w:after="0"/>
              <w:rPr>
                <w:sz w:val="20"/>
                <w:szCs w:val="20"/>
                <w:color w:val="auto"/>
              </w:rPr>
            </w:pPr>
          </w:p>
        </w:tc>
        <w:tc>
          <w:tcPr>
            <w:tcW w:w="14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$ 2,841,641.24</w:t>
            </w:r>
          </w:p>
        </w:tc>
        <w:tc>
          <w:tcPr>
            <w:tcW w:w="20" w:type="dxa"/>
            <w:vAlign w:val="bottom"/>
          </w:tcPr>
          <w:p>
            <w:pPr>
              <w:spacing w:after="0"/>
              <w:rPr>
                <w:sz w:val="20"/>
                <w:szCs w:val="2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$ 392.43</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0" w:type="dxa"/>
            <w:vAlign w:val="bottom"/>
            <w:tcBorders>
              <w:left w:val="single" w:sz="8" w:color="auto"/>
            </w:tcBorders>
          </w:tcPr>
          <w:p>
            <w:pPr>
              <w:spacing w:after="0"/>
              <w:rPr>
                <w:sz w:val="14"/>
                <w:szCs w:val="14"/>
                <w:color w:val="auto"/>
              </w:rPr>
            </w:pPr>
          </w:p>
        </w:tc>
        <w:tc>
          <w:tcPr>
            <w:tcW w:w="1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vMerge w:val="restart"/>
            <w:shd w:val="clear" w:color="auto" w:fill="E7E7E2"/>
          </w:tcPr>
          <w:p>
            <w:pPr>
              <w:ind w:left="20"/>
              <w:spacing w:after="0" w:line="240" w:lineRule="exact"/>
              <w:rPr>
                <w:sz w:val="20"/>
                <w:szCs w:val="20"/>
                <w:color w:val="auto"/>
              </w:rPr>
            </w:pPr>
            <w:r>
              <w:rPr>
                <w:rFonts w:ascii="Arial" w:cs="Arial" w:eastAsia="Arial" w:hAnsi="Arial"/>
                <w:sz w:val="21"/>
                <w:szCs w:val="21"/>
                <w:color w:val="auto"/>
              </w:rPr>
              <w:t>issuance</w:t>
            </w:r>
          </w:p>
        </w:tc>
        <w:tc>
          <w:tcPr>
            <w:tcW w:w="40" w:type="dxa"/>
            <w:vAlign w:val="bottom"/>
          </w:tcPr>
          <w:p>
            <w:pPr>
              <w:spacing w:after="0"/>
              <w:rPr>
                <w:sz w:val="14"/>
                <w:szCs w:val="14"/>
                <w:color w:val="auto"/>
              </w:rPr>
            </w:pPr>
          </w:p>
        </w:tc>
        <w:tc>
          <w:tcPr>
            <w:tcW w:w="11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vMerge w:val="continue"/>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40" w:type="dxa"/>
            <w:vAlign w:val="bottom"/>
            <w:tcBorders>
              <w:left w:val="single" w:sz="8" w:color="auto"/>
            </w:tcBorders>
          </w:tcPr>
          <w:p>
            <w:pPr>
              <w:spacing w:after="0"/>
              <w:rPr>
                <w:sz w:val="6"/>
                <w:szCs w:val="6"/>
                <w:color w:val="auto"/>
              </w:rPr>
            </w:pPr>
          </w:p>
        </w:tc>
        <w:tc>
          <w:tcPr>
            <w:tcW w:w="1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vMerge w:val="continue"/>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3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4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480" w:type="dxa"/>
            <w:vAlign w:val="bottom"/>
            <w:shd w:val="clear" w:color="auto" w:fill="E7E7E2"/>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pursuant</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to the</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2021</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Equity</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Incentive</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E7E7E2"/>
          </w:tcPr>
          <w:p>
            <w:pPr>
              <w:ind w:left="20"/>
              <w:spacing w:after="0"/>
              <w:rPr>
                <w:sz w:val="20"/>
                <w:szCs w:val="20"/>
                <w:color w:val="auto"/>
              </w:rPr>
            </w:pPr>
            <w:r>
              <w:rPr>
                <w:rFonts w:ascii="Arial" w:cs="Arial" w:eastAsia="Arial" w:hAnsi="Arial"/>
                <w:sz w:val="21"/>
                <w:szCs w:val="21"/>
                <w:color w:val="auto"/>
              </w:rPr>
              <w:t>Plan</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Arial" w:cs="Arial" w:eastAsia="Arial" w:hAnsi="Arial"/>
                <w:sz w:val="21"/>
                <w:szCs w:val="21"/>
                <w:color w:val="auto"/>
              </w:rPr>
              <w:t>$ 2,841,641.24</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$ 392.43</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$ 392.43</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660" w:hanging="225"/>
        <w:spacing w:after="0"/>
        <w:tabs>
          <w:tab w:leader="none" w:pos="800" w:val="left"/>
        </w:tabs>
        <w:numPr>
          <w:ilvl w:val="0"/>
          <w:numId w:val="3"/>
        </w:numPr>
        <w:rPr>
          <w:rFonts w:ascii="Arial" w:cs="Arial" w:eastAsia="Arial" w:hAnsi="Arial"/>
          <w:sz w:val="27"/>
          <w:szCs w:val="27"/>
          <w:color w:val="auto"/>
          <w:vertAlign w:val="superscript"/>
        </w:rPr>
      </w:pPr>
      <w:r>
        <w:rPr>
          <w:rFonts w:ascii="Arial" w:cs="Arial" w:eastAsia="Arial" w:hAnsi="Arial"/>
          <w:sz w:val="21"/>
          <w:szCs w:val="21"/>
          <w:color w:val="auto"/>
        </w:rPr>
        <w:t>The amount registered represents shares of common stock of Instil Bio, Inc. (the "Registrant") that were added to the shares reserved for future issuance under the Registrant's 2021 Equity Incentive Plan (the "2021 EIP") on January 1, 2026 pursuant to a provision contained in the 2021 EIP pursuant to which the number of shares reserved for issuance under the 2021 EIP will automatically increase on January 1 of each year for a period of ten years commencing on January 1, 2022 and ending on (and including) January 1, 2031, in an amount equal to five percent (5%) of the total number of shares of the Registrant's common stock outstanding on December 31 of the preceding year; provided, however, that the Registrant's board of directors may act prior to January 1st of a given year to provide that the increase for such year will be a lesser number of shares. Pursuant to Rule 416(a) promulgated under the Securities Act of 1933, as amended (the "Securities Act"), this Registration Statement shall also cover any additional shares of the Registrant's common stock that become issuable under the 2021 EIP by reason of any stock dividend, stock split, recapitalization, or other similar transaction effected that results in an increase to the number of outstanding shares of the Registrant's common stock. The proposed maximum offering price per unit is estimated solely for the purpose of calculating the proposed maximum aggregate offering price and the registration fee in accordance with Rules 457(c) and (h) under the Securities Act, based on the average of the high and low prices of the Registrant's common stock as reported in the consolidated reporting system of The Nasdaq Capital Market on March 24, 2026, which was $8.38.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203835</wp:posOffset>
            </wp:positionV>
            <wp:extent cx="6387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1873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98360" cy="1873885"/>
                    </a:xfrm>
                    <a:prstGeom prst="rect">
                      <a:avLst/>
                    </a:prstGeom>
                    <a:noFill/>
                  </pic:spPr>
                </pic:pic>
              </a:graphicData>
            </a:graphic>
          </wp:anchor>
        </w:drawing>
      </w:r>
    </w:p>
    <w:p>
      <w:pPr>
        <w:sectPr>
          <w:pgSz w:w="11900" w:h="16900" w:orient="portrait"/>
          <w:cols w:equalWidth="0" w:num="1">
            <w:col w:w="11240"/>
          </w:cols>
          <w:pgMar w:left="360" w:top="142"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7"/>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p>
      <w:pPr>
        <w:sectPr>
          <w:pgSz w:w="11900" w:h="16900" w:orient="portrait"/>
          <w:cols w:equalWidth="0" w:num="3">
            <w:col w:w="1980" w:space="40"/>
            <w:col w:w="2720" w:space="40"/>
            <w:col w:w="6460"/>
          </w:cols>
          <w:pgMar w:left="360" w:top="142" w:right="299" w:bottom="0" w:gutter="0" w:footer="0" w:header="0"/>
          <w:type w:val="continuous"/>
        </w:sectPr>
      </w:pPr>
    </w:p>
    <w:bookmarkStart w:id="8" w:name="page9"/>
    <w:bookmarkEnd w:id="8"/>
    <w:p>
      <w:pPr>
        <w:spacing w:after="0"/>
        <w:rPr>
          <w:sz w:val="20"/>
          <w:szCs w:val="20"/>
          <w:color w:val="auto"/>
        </w:rPr>
      </w:pPr>
      <w:r>
        <w:rPr>
          <w:rFonts w:ascii="Arial" w:cs="Arial" w:eastAsia="Arial" w:hAnsi="Arial"/>
          <w:sz w:val="21"/>
          <w:szCs w:val="21"/>
          <w:color w:val="auto"/>
        </w:rPr>
        <w:t>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-134620</wp:posOffset>
            </wp:positionV>
            <wp:extent cx="7198360" cy="680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98360" cy="68072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Offset</w:t>
      </w:r>
    </w:p>
    <w:p>
      <w:pPr>
        <w:spacing w:after="0"/>
        <w:rPr>
          <w:sz w:val="20"/>
          <w:szCs w:val="20"/>
          <w:color w:val="auto"/>
        </w:rPr>
      </w:pPr>
      <w:r>
        <w:rPr>
          <w:rFonts w:ascii="Arial" w:cs="Arial" w:eastAsia="Arial" w:hAnsi="Arial"/>
          <w:sz w:val="21"/>
          <w:szCs w:val="21"/>
          <w:color w:val="auto"/>
        </w:rPr>
        <w:t>Sources</w:t>
      </w:r>
    </w:p>
    <w:sectPr>
      <w:pgSz w:w="11900" w:h="16838" w:orient="portrait"/>
      <w:cols w:equalWidth="0" w:num="1">
        <w:col w:w="10079"/>
      </w:cols>
      <w:pgMar w:left="38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upperLetter"/>
      <w:start w:val="20"/>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0"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jpeg"/><Relationship Id="rId30" Type="http://schemas.openxmlformats.org/officeDocument/2006/relationships/image" Target="media/image14.png"/><Relationship Id="rId31" Type="http://schemas.openxmlformats.org/officeDocument/2006/relationships/image" Target="media/image15.jpe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17" Type="http://schemas.openxmlformats.org/officeDocument/2006/relationships/hyperlink" Target="http://www.sec.gov/Archives/edgar/data/1789769/000178976921000015/projectreagan-formsx8v7.htm" TargetMode="External"/><Relationship Id="rId18" Type="http://schemas.openxmlformats.org/officeDocument/2006/relationships/hyperlink" Target="http://www.sec.gov/Archives/edgar/data/1789769/000178976924000038/s-8.htm" TargetMode="External"/><Relationship Id="rId19" Type="http://schemas.openxmlformats.org/officeDocument/2006/relationships/hyperlink" Target="http://www.sec.gov/Archives/edgar/data/1789769/000178976925000019/s-8evergreenq1x25.htm" TargetMode="External"/><Relationship Id="rId21" Type="http://schemas.openxmlformats.org/officeDocument/2006/relationships/hyperlink" Target="http://www.sec.gov/ix?doc=/Archives/edgar/data/1789769/000178976926000019/til-20251231.htm" TargetMode="External"/><Relationship Id="rId22" Type="http://schemas.openxmlformats.org/officeDocument/2006/relationships/hyperlink" Target="http://www.sec.gov/ix?doc=/Archives/edgar/data/0001789769/000178976926000004/til-20260105.htm" TargetMode="External"/><Relationship Id="rId23" Type="http://schemas.openxmlformats.org/officeDocument/2006/relationships/hyperlink" Target="http://www.sec.gov/Archives/edgar/data/0001789769/000178976923000035/a-22ex41descriptionofcommo.htm" TargetMode="External"/><Relationship Id="rId24" Type="http://schemas.openxmlformats.org/officeDocument/2006/relationships/hyperlink" Target="http://www.sec.gov/Archives/edgar/data/1789769/000178976924000036/amendedandrestatedcertific.htm" TargetMode="External"/><Relationship Id="rId25" Type="http://schemas.openxmlformats.org/officeDocument/2006/relationships/hyperlink" Target="http://www.sec.gov/Archives/edgar/data/1789769/000119312521091216/d131874dex32.htm" TargetMode="External"/><Relationship Id="rId26" Type="http://schemas.openxmlformats.org/officeDocument/2006/relationships/hyperlink" Target="http://www.sec.gov/Archives/edgar/data/1789769/000119312521080468/d138592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2026-03-27T07:09:48Z</dcterms:created>
  <dcterms:modified xsi:type="dcterms:W3CDTF">2026-03-27T07:09:48Z</dcterms:modified>
</cp:coreProperties>
</file>